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6331F" w14:textId="77777777" w:rsidR="00B37128" w:rsidRDefault="00000000" w:rsidP="00125670">
      <w:pPr>
        <w:pStyle w:val="MdHeading1"/>
      </w:pPr>
      <w:r>
        <w:t>ELRC TRADING</w:t>
      </w:r>
    </w:p>
    <w:p w14:paraId="29E3E715" w14:textId="77777777" w:rsidR="00B37128" w:rsidRDefault="00000000">
      <w:pPr>
        <w:pStyle w:val="MdHeading2"/>
      </w:pPr>
      <w:r>
        <w:t>Anti-Money Laundering (AML) Policy and Sanctions Screening Procedure</w:t>
      </w:r>
    </w:p>
    <w:p w14:paraId="443C7FCF" w14:textId="77777777" w:rsidR="00B37128" w:rsidRPr="00AD5E47" w:rsidRDefault="00B37128">
      <w:pPr>
        <w:pStyle w:val="MdSpace"/>
        <w:spacing w:after="60"/>
        <w:rPr>
          <w:lang w:val="en-AU"/>
        </w:rPr>
      </w:pPr>
    </w:p>
    <w:p w14:paraId="600000D6" w14:textId="77777777" w:rsidR="00B37128" w:rsidRDefault="00000000">
      <w:pPr>
        <w:pStyle w:val="MdParagraph"/>
      </w:pPr>
      <w:r>
        <w:rPr>
          <w:rStyle w:val="MdStrong"/>
        </w:rPr>
        <w:t>Prepared by</w:t>
      </w:r>
      <w:r>
        <w:t>: Compliance Department, ELRC TRADING Pty Ltd</w:t>
      </w:r>
    </w:p>
    <w:p w14:paraId="4D5D68D4" w14:textId="77777777" w:rsidR="00B37128" w:rsidRPr="00AD5E47" w:rsidRDefault="00B37128">
      <w:pPr>
        <w:pStyle w:val="MdHr"/>
        <w:pBdr>
          <w:bottom w:val="single" w:sz="6" w:space="1" w:color="auto"/>
        </w:pBdr>
        <w:rPr>
          <w:lang w:val="en-AU"/>
        </w:rPr>
      </w:pPr>
    </w:p>
    <w:p w14:paraId="138B6BA7" w14:textId="77777777" w:rsidR="00B37128" w:rsidRDefault="00B37128">
      <w:pPr>
        <w:pStyle w:val="MdSpace"/>
        <w:spacing w:after="60"/>
      </w:pPr>
    </w:p>
    <w:p w14:paraId="66ADA8F4" w14:textId="77777777" w:rsidR="00B37128" w:rsidRDefault="00000000">
      <w:pPr>
        <w:pStyle w:val="MdHeading2"/>
      </w:pPr>
      <w:r>
        <w:t>1. Executive Summary</w:t>
      </w:r>
    </w:p>
    <w:p w14:paraId="2F3776D4" w14:textId="5F9EF231" w:rsidR="00B37128" w:rsidRDefault="00000000">
      <w:pPr>
        <w:pStyle w:val="MdParagraph"/>
      </w:pPr>
      <w:r>
        <w:t xml:space="preserve">This document outlines the comprehensive Anti-Money Laundering (AML) policy and sanctions screening procedures implemented by ELRC TRADING Pty Ltd (ACN: 686 501 995; hereinafter referred to as "ELRC," "the Company," "we," or "us") in compliance with Australian anti-money laundering and counter-terrorism financing legislation, including the </w:t>
      </w:r>
      <w:r>
        <w:rPr>
          <w:rStyle w:val="MdEm"/>
        </w:rPr>
        <w:t>Anti-Money Laundering and Counter-Terrorism Financing Act 2006</w:t>
      </w:r>
      <w:r>
        <w:t xml:space="preserve"> (Cth) (the "AML/CTF Act") and associated regulations. This policy is mandatory for all Business Clients, service providers, and authorized representatives of ELRC.</w:t>
      </w:r>
    </w:p>
    <w:p w14:paraId="7DD662DA" w14:textId="77777777" w:rsidR="00B37128" w:rsidRDefault="00B37128">
      <w:pPr>
        <w:pStyle w:val="MdSpace"/>
        <w:spacing w:after="60"/>
      </w:pPr>
    </w:p>
    <w:p w14:paraId="249B3C1C" w14:textId="6FBE1A23" w:rsidR="00B37128" w:rsidRDefault="00000000">
      <w:pPr>
        <w:pStyle w:val="MdParagraph"/>
      </w:pPr>
      <w:r>
        <w:t>ELRC is committed to maintaining the highest standards of integrity and compliance in all business operations. The Company has established robust procedures to identify, assess, and mitigate money laundering and terrorism financing risks appropriate to its current business profile as an Australian-domiciled digital currency exchange and cross-border payment provider serving Australian-Domiciled Business Clients. This policy sets out the framework through which ELRC fulfills its obligations as a reporting entity under the AML/CTF Act and demonstrates its commitment to supporting law enforcement and regulatory agencies in combating financial crime.</w:t>
      </w:r>
    </w:p>
    <w:p w14:paraId="725DBBD6" w14:textId="77777777" w:rsidR="00B37128" w:rsidRDefault="00B37128">
      <w:pPr>
        <w:pStyle w:val="MdSpace"/>
        <w:spacing w:after="60"/>
      </w:pPr>
    </w:p>
    <w:p w14:paraId="10FBED64" w14:textId="77777777" w:rsidR="00B37128" w:rsidRDefault="00000000">
      <w:pPr>
        <w:pStyle w:val="MdHeading3"/>
      </w:pPr>
      <w:r>
        <w:t>1.1 Current Business Scope</w:t>
      </w:r>
    </w:p>
    <w:p w14:paraId="3927FF6B" w14:textId="49F969D1" w:rsidR="00B37128" w:rsidRDefault="00602143">
      <w:pPr>
        <w:pStyle w:val="MdSpace"/>
        <w:spacing w:after="60"/>
        <w:rPr>
          <w:sz w:val="24"/>
          <w:szCs w:val="24"/>
        </w:rPr>
      </w:pPr>
      <w:r>
        <w:rPr>
          <w:sz w:val="24"/>
          <w:szCs w:val="24"/>
        </w:rPr>
        <w:t>ELRC’s current business operations focus on providing digital currency exchange and cross-border payment services to Business Clients that are incorporated, registered, or otherwise established in Australia ("Australian-Domiciled Business Clients"). At the present time, ELRC does not onboard or provide Services to Business Clients domiciled outside Australia. For the avoidance of doubt, Australian-Domiciled Business Clients may have counterparties, payees, and/or beneficial owners located outside Australia. ELRC applies a risk-based approach to customer due diligence, screening, and ongoing monitoring in accordance with the AML/CTF Act and AML/CTF Rules.</w:t>
      </w:r>
    </w:p>
    <w:p w14:paraId="6CCC8563" w14:textId="77777777" w:rsidR="00602143" w:rsidRDefault="00602143">
      <w:pPr>
        <w:pStyle w:val="MdSpace"/>
        <w:spacing w:after="60"/>
        <w:rPr>
          <w:sz w:val="24"/>
          <w:szCs w:val="24"/>
          <w:lang w:val="en-AU"/>
        </w:rPr>
      </w:pPr>
    </w:p>
    <w:p w14:paraId="3A54FE68" w14:textId="77777777" w:rsidR="00602143" w:rsidRPr="00602143" w:rsidRDefault="00602143">
      <w:pPr>
        <w:pStyle w:val="MdSpace"/>
        <w:spacing w:after="60"/>
        <w:rPr>
          <w:sz w:val="24"/>
          <w:szCs w:val="24"/>
          <w:lang w:val="en-AU"/>
        </w:rPr>
      </w:pPr>
    </w:p>
    <w:p w14:paraId="7F6E891B" w14:textId="77777777" w:rsidR="00602143" w:rsidRPr="00602143" w:rsidRDefault="00602143" w:rsidP="00602143">
      <w:pPr>
        <w:pStyle w:val="MdHeading3"/>
      </w:pPr>
      <w:r>
        <w:lastRenderedPageBreak/>
        <w:t xml:space="preserve">1.1A Enhanced Due Diligence for Higher-Risk or Large Transactions </w:t>
      </w:r>
    </w:p>
    <w:p w14:paraId="55742E9A" w14:textId="77777777" w:rsidR="00602143" w:rsidRDefault="00602143">
      <w:pPr>
        <w:pStyle w:val="MdSpace"/>
        <w:spacing w:after="60"/>
        <w:rPr>
          <w:rFonts w:ascii="Menlo" w:hAnsi="Menlo" w:cs="Menlo"/>
          <w:color w:val="262626"/>
          <w:sz w:val="20"/>
          <w:szCs w:val="20"/>
          <w:shd w:val="clear" w:color="auto" w:fill="FAFAFA"/>
          <w:lang w:val="en-AU"/>
        </w:rPr>
      </w:pPr>
    </w:p>
    <w:p w14:paraId="7BD2F1FA" w14:textId="77777777" w:rsidR="008918F3" w:rsidRPr="008918F3" w:rsidRDefault="008918F3">
      <w:pPr>
        <w:pStyle w:val="MdSpace"/>
        <w:spacing w:after="60"/>
        <w:rPr>
          <w:rFonts w:ascii="Menlo" w:hAnsi="Menlo" w:cs="Menlo"/>
          <w:color w:val="262626"/>
          <w:sz w:val="20"/>
          <w:szCs w:val="20"/>
          <w:shd w:val="clear" w:color="auto" w:fill="FAFAFA"/>
          <w:lang w:val="en-AU"/>
        </w:rPr>
      </w:pPr>
    </w:p>
    <w:p w14:paraId="26050AF0" w14:textId="78BB8573" w:rsidR="00602143" w:rsidRDefault="00602143">
      <w:pPr>
        <w:pStyle w:val="MdSpace"/>
        <w:spacing w:after="60"/>
        <w:rPr>
          <w:sz w:val="24"/>
          <w:szCs w:val="24"/>
        </w:rPr>
      </w:pPr>
      <w:r>
        <w:rPr>
          <w:sz w:val="24"/>
          <w:szCs w:val="24"/>
        </w:rPr>
        <w:t>ELRC conducts sanctions screening and transaction monitoring on a risk-based basis for all customers and transactions. In addition, ELRC may apply enhanced due diligence measures for higher-risk matters, including (without limitation) unusual transaction patterns, high-risk jurisdictions, complex ownership structures, or where adverse information is identified.</w:t>
      </w:r>
    </w:p>
    <w:p w14:paraId="14768C03" w14:textId="77777777" w:rsidR="005A5F7A" w:rsidRDefault="005A5F7A">
      <w:pPr>
        <w:pStyle w:val="MdSpace"/>
        <w:spacing w:after="60"/>
        <w:rPr>
          <w:sz w:val="24"/>
          <w:szCs w:val="24"/>
        </w:rPr>
      </w:pPr>
    </w:p>
    <w:p w14:paraId="5C093902" w14:textId="7FF0AC87" w:rsidR="005A5F7A" w:rsidRDefault="005A5F7A" w:rsidP="005A5F7A">
      <w:pPr>
        <w:pStyle w:val="MdHeading3"/>
        <w:rPr>
          <w:lang w:val="en-AU"/>
        </w:rPr>
      </w:pPr>
      <w:r>
        <w:t>1.1B Third-Party AML Service Provider — Designated Screening and Onboarding Platform</w:t>
      </w:r>
      <w:r>
        <w:rPr>
          <w:lang w:val="en-AU"/>
        </w:rPr>
        <w:t xml:space="preserve"> </w:t>
      </w:r>
    </w:p>
    <w:p w14:paraId="66EE4EB1" w14:textId="21B4A3D6" w:rsidR="005A5F7A" w:rsidRDefault="005A5F7A" w:rsidP="005A5F7A">
      <w:pPr>
        <w:pStyle w:val="MdSpace"/>
        <w:spacing w:after="60"/>
        <w:rPr>
          <w:sz w:val="24"/>
          <w:szCs w:val="24"/>
        </w:rPr>
      </w:pPr>
      <w:r>
        <w:rPr>
          <w:sz w:val="24"/>
          <w:szCs w:val="24"/>
        </w:rPr>
        <w:t>ELRC engages ComplyAdvantage as its designated third-party provider for automated customer identification verification, sanctions and PEP screening, adverse media monitoring, and risk-based customer onboarding workflow management. ComplyAdvantage is engaged pursuant to ELRC's vendor management obligations and in accordance with AUSTRAC guidance on the use of third-party compliance tools.</w:t>
      </w:r>
    </w:p>
    <w:p w14:paraId="7DAC9448" w14:textId="77777777" w:rsidR="005A5F7A" w:rsidRPr="005A5F7A" w:rsidRDefault="005A5F7A" w:rsidP="005A5F7A">
      <w:pPr>
        <w:pStyle w:val="MdSpace"/>
        <w:spacing w:after="60"/>
        <w:rPr>
          <w:sz w:val="24"/>
          <w:szCs w:val="24"/>
        </w:rPr>
      </w:pPr>
    </w:p>
    <w:p w14:paraId="5F4DC19A" w14:textId="77777777" w:rsidR="005A5F7A" w:rsidRPr="005A5F7A" w:rsidRDefault="005A5F7A" w:rsidP="005A5F7A">
      <w:pPr>
        <w:pStyle w:val="MdSpace"/>
        <w:spacing w:after="60"/>
        <w:rPr>
          <w:sz w:val="24"/>
          <w:szCs w:val="24"/>
        </w:rPr>
      </w:pPr>
      <w:r>
        <w:rPr>
          <w:b/>
          <w:bCs/>
          <w:sz w:val="24"/>
          <w:szCs w:val="24"/>
        </w:rPr>
        <w:t>Scope of Delegation</w:t>
      </w:r>
      <w:r>
        <w:rPr>
          <w:sz w:val="24"/>
          <w:szCs w:val="24"/>
        </w:rPr>
        <w:t>: The following functions are operationally executed through ComplyAdvantage:</w:t>
      </w:r>
    </w:p>
    <w:p w14:paraId="450920F7" w14:textId="77777777" w:rsidR="005A5F7A" w:rsidRPr="005A5F7A" w:rsidRDefault="005A5F7A" w:rsidP="005A5F7A">
      <w:pPr>
        <w:pStyle w:val="MdSpace"/>
        <w:numPr>
          <w:ilvl w:val="0"/>
          <w:numId w:val="29"/>
        </w:numPr>
        <w:spacing w:after="60"/>
        <w:rPr>
          <w:sz w:val="24"/>
          <w:szCs w:val="24"/>
        </w:rPr>
      </w:pPr>
      <w:r>
        <w:rPr>
          <w:sz w:val="24"/>
          <w:szCs w:val="24"/>
        </w:rPr>
        <w:t>Automated identity document verification for Authorized Representatives and UBOs</w:t>
      </w:r>
    </w:p>
    <w:p w14:paraId="0A426C6A" w14:textId="77777777" w:rsidR="005A5F7A" w:rsidRPr="005A5F7A" w:rsidRDefault="005A5F7A" w:rsidP="005A5F7A">
      <w:pPr>
        <w:pStyle w:val="MdSpace"/>
        <w:numPr>
          <w:ilvl w:val="0"/>
          <w:numId w:val="29"/>
        </w:numPr>
        <w:spacing w:after="60"/>
        <w:rPr>
          <w:sz w:val="24"/>
          <w:szCs w:val="24"/>
        </w:rPr>
      </w:pPr>
      <w:r>
        <w:rPr>
          <w:sz w:val="24"/>
          <w:szCs w:val="24"/>
        </w:rPr>
        <w:t>Real-time and periodic screening against DFAT, OFAC, UN, EU, HMT sanctions lists and PEP databases</w:t>
      </w:r>
    </w:p>
    <w:p w14:paraId="3145D954" w14:textId="77777777" w:rsidR="005A5F7A" w:rsidRPr="005A5F7A" w:rsidRDefault="005A5F7A" w:rsidP="005A5F7A">
      <w:pPr>
        <w:pStyle w:val="MdSpace"/>
        <w:numPr>
          <w:ilvl w:val="0"/>
          <w:numId w:val="29"/>
        </w:numPr>
        <w:spacing w:after="60"/>
        <w:rPr>
          <w:sz w:val="24"/>
          <w:szCs w:val="24"/>
        </w:rPr>
      </w:pPr>
      <w:r>
        <w:rPr>
          <w:sz w:val="24"/>
          <w:szCs w:val="24"/>
        </w:rPr>
        <w:t>Automated risk scoring and customer risk profiling</w:t>
      </w:r>
    </w:p>
    <w:p w14:paraId="5FAF358B" w14:textId="77777777" w:rsidR="005A5F7A" w:rsidRDefault="005A5F7A" w:rsidP="005A5F7A">
      <w:pPr>
        <w:pStyle w:val="MdSpace"/>
        <w:numPr>
          <w:ilvl w:val="0"/>
          <w:numId w:val="29"/>
        </w:numPr>
        <w:spacing w:after="60"/>
        <w:rPr>
          <w:sz w:val="24"/>
          <w:szCs w:val="24"/>
        </w:rPr>
      </w:pPr>
      <w:r>
        <w:rPr>
          <w:sz w:val="24"/>
          <w:szCs w:val="24"/>
        </w:rPr>
        <w:t>Ongoing monitoring and re-screening alerts</w:t>
      </w:r>
    </w:p>
    <w:p w14:paraId="2C8C77A5" w14:textId="77777777" w:rsidR="005A5F7A" w:rsidRPr="005A5F7A" w:rsidRDefault="005A5F7A" w:rsidP="005A5F7A">
      <w:pPr>
        <w:pStyle w:val="MdSpace"/>
        <w:spacing w:after="60"/>
        <w:rPr>
          <w:sz w:val="24"/>
          <w:szCs w:val="24"/>
        </w:rPr>
      </w:pPr>
    </w:p>
    <w:p w14:paraId="5FA60104" w14:textId="77777777" w:rsidR="005A5F7A" w:rsidRPr="005A5F7A" w:rsidRDefault="005A5F7A" w:rsidP="005A5F7A">
      <w:pPr>
        <w:pStyle w:val="MdSpace"/>
        <w:spacing w:after="60"/>
        <w:rPr>
          <w:sz w:val="24"/>
          <w:szCs w:val="24"/>
        </w:rPr>
      </w:pPr>
      <w:r>
        <w:rPr>
          <w:b/>
          <w:bCs/>
          <w:sz w:val="24"/>
          <w:szCs w:val="24"/>
        </w:rPr>
        <w:t>Functions Retained by ELRC</w:t>
      </w:r>
      <w:r>
        <w:rPr>
          <w:sz w:val="24"/>
          <w:szCs w:val="24"/>
        </w:rPr>
        <w:t>: The following functions are not delegated and remain the sole responsibility of ELRC's Compliance Officer:</w:t>
      </w:r>
    </w:p>
    <w:p w14:paraId="7E81E964" w14:textId="77777777" w:rsidR="005A5F7A" w:rsidRPr="005A5F7A" w:rsidRDefault="005A5F7A" w:rsidP="005A5F7A">
      <w:pPr>
        <w:pStyle w:val="MdSpace"/>
        <w:numPr>
          <w:ilvl w:val="0"/>
          <w:numId w:val="30"/>
        </w:numPr>
        <w:spacing w:after="60"/>
        <w:rPr>
          <w:sz w:val="24"/>
          <w:szCs w:val="24"/>
        </w:rPr>
      </w:pPr>
      <w:r>
        <w:rPr>
          <w:sz w:val="24"/>
          <w:szCs w:val="24"/>
        </w:rPr>
        <w:t>Final customer onboarding approval decisions</w:t>
      </w:r>
    </w:p>
    <w:p w14:paraId="58E39398" w14:textId="77777777" w:rsidR="005A5F7A" w:rsidRPr="005A5F7A" w:rsidRDefault="005A5F7A" w:rsidP="005A5F7A">
      <w:pPr>
        <w:pStyle w:val="MdSpace"/>
        <w:numPr>
          <w:ilvl w:val="0"/>
          <w:numId w:val="30"/>
        </w:numPr>
        <w:spacing w:after="60"/>
        <w:rPr>
          <w:sz w:val="24"/>
          <w:szCs w:val="24"/>
        </w:rPr>
      </w:pPr>
      <w:r>
        <w:rPr>
          <w:sz w:val="24"/>
          <w:szCs w:val="24"/>
        </w:rPr>
        <w:t>Manual review of all yellow/amber screening results</w:t>
      </w:r>
    </w:p>
    <w:p w14:paraId="2DA20836" w14:textId="77777777" w:rsidR="005A5F7A" w:rsidRPr="005A5F7A" w:rsidRDefault="005A5F7A" w:rsidP="005A5F7A">
      <w:pPr>
        <w:pStyle w:val="MdSpace"/>
        <w:numPr>
          <w:ilvl w:val="0"/>
          <w:numId w:val="30"/>
        </w:numPr>
        <w:spacing w:after="60"/>
        <w:rPr>
          <w:sz w:val="24"/>
          <w:szCs w:val="24"/>
        </w:rPr>
      </w:pPr>
      <w:r>
        <w:rPr>
          <w:sz w:val="24"/>
          <w:szCs w:val="24"/>
        </w:rPr>
        <w:t>All SMR, TTR and IFTI filings with AUSTRAC</w:t>
      </w:r>
    </w:p>
    <w:p w14:paraId="3C21B8DD" w14:textId="77777777" w:rsidR="005A5F7A" w:rsidRPr="005A5F7A" w:rsidRDefault="005A5F7A" w:rsidP="005A5F7A">
      <w:pPr>
        <w:pStyle w:val="MdSpace"/>
        <w:numPr>
          <w:ilvl w:val="0"/>
          <w:numId w:val="30"/>
        </w:numPr>
        <w:spacing w:after="60"/>
        <w:rPr>
          <w:sz w:val="24"/>
          <w:szCs w:val="24"/>
        </w:rPr>
      </w:pPr>
      <w:r>
        <w:rPr>
          <w:sz w:val="24"/>
          <w:szCs w:val="24"/>
        </w:rPr>
        <w:t>Final risk classification sign-off</w:t>
      </w:r>
    </w:p>
    <w:p w14:paraId="74BDC76E" w14:textId="77777777" w:rsidR="005A5F7A" w:rsidRDefault="005A5F7A" w:rsidP="005A5F7A">
      <w:pPr>
        <w:pStyle w:val="MdSpace"/>
        <w:numPr>
          <w:ilvl w:val="0"/>
          <w:numId w:val="30"/>
        </w:numPr>
        <w:spacing w:after="60"/>
        <w:rPr>
          <w:sz w:val="24"/>
          <w:szCs w:val="24"/>
        </w:rPr>
      </w:pPr>
      <w:r>
        <w:rPr>
          <w:sz w:val="24"/>
          <w:szCs w:val="24"/>
        </w:rPr>
        <w:t>Record-keeping and 7-year retention obligations</w:t>
      </w:r>
    </w:p>
    <w:p w14:paraId="53269621" w14:textId="77777777" w:rsidR="005A5F7A" w:rsidRPr="005A5F7A" w:rsidRDefault="005A5F7A" w:rsidP="005A5F7A">
      <w:pPr>
        <w:pStyle w:val="MdSpace"/>
        <w:spacing w:after="60"/>
        <w:rPr>
          <w:sz w:val="24"/>
          <w:szCs w:val="24"/>
        </w:rPr>
      </w:pPr>
    </w:p>
    <w:p w14:paraId="2F98BC4D" w14:textId="77777777" w:rsidR="005A5F7A" w:rsidRPr="005A5F7A" w:rsidRDefault="005A5F7A" w:rsidP="005A5F7A">
      <w:pPr>
        <w:pStyle w:val="MdSpace"/>
        <w:spacing w:after="60"/>
        <w:rPr>
          <w:sz w:val="24"/>
          <w:szCs w:val="24"/>
        </w:rPr>
      </w:pPr>
      <w:r>
        <w:rPr>
          <w:b/>
          <w:bCs/>
          <w:sz w:val="24"/>
          <w:szCs w:val="24"/>
        </w:rPr>
        <w:t>Legal Responsibility</w:t>
      </w:r>
      <w:r>
        <w:rPr>
          <w:sz w:val="24"/>
          <w:szCs w:val="24"/>
        </w:rPr>
        <w:t>: Notwithstanding the use of ComplyAdvantage, ELRC remains the reporting entity under the AML/CTF Act 2006 (Cth) and retains full legal responsibility for all compliance obligations. The engagement of ComplyAdvantage does not constitute a reliance arrangement under ss. 37A–38 of the AML/CTF Act; ELRC independently verifies and records all KYC outcomes.</w:t>
      </w:r>
    </w:p>
    <w:p w14:paraId="5C7336E8" w14:textId="77777777" w:rsidR="005A5F7A" w:rsidRPr="005A5F7A" w:rsidRDefault="005A5F7A" w:rsidP="005A5F7A">
      <w:pPr>
        <w:pStyle w:val="MdSpace"/>
        <w:spacing w:after="60"/>
        <w:rPr>
          <w:sz w:val="24"/>
          <w:szCs w:val="24"/>
        </w:rPr>
      </w:pPr>
    </w:p>
    <w:p w14:paraId="4E7E8B67" w14:textId="77777777" w:rsidR="00B37128" w:rsidRDefault="00B37128">
      <w:pPr>
        <w:pStyle w:val="MdHr"/>
        <w:pBdr>
          <w:bottom w:val="single" w:sz="6" w:space="1" w:color="auto"/>
        </w:pBdr>
      </w:pPr>
    </w:p>
    <w:p w14:paraId="67B6DEF5" w14:textId="77777777" w:rsidR="00B37128" w:rsidRDefault="00B37128">
      <w:pPr>
        <w:pStyle w:val="MdSpace"/>
        <w:spacing w:after="60"/>
      </w:pPr>
    </w:p>
    <w:p w14:paraId="6D945676" w14:textId="77777777" w:rsidR="00B37128" w:rsidRDefault="00000000">
      <w:pPr>
        <w:pStyle w:val="MdHeading2"/>
      </w:pPr>
      <w:r>
        <w:lastRenderedPageBreak/>
        <w:t>2. Scope and Application</w:t>
      </w:r>
    </w:p>
    <w:p w14:paraId="6EC5D790" w14:textId="77777777" w:rsidR="00B37128" w:rsidRDefault="00000000">
      <w:pPr>
        <w:pStyle w:val="MdHeading3"/>
      </w:pPr>
      <w:r>
        <w:t>2.1 Regulatory Framework</w:t>
      </w:r>
    </w:p>
    <w:p w14:paraId="36EBA254" w14:textId="77777777" w:rsidR="00B37128" w:rsidRDefault="00000000">
      <w:pPr>
        <w:pStyle w:val="MdParagraph"/>
      </w:pPr>
      <w:r>
        <w:t>This AML policy and sanctions screening procedure are established in accordance with:</w:t>
      </w:r>
    </w:p>
    <w:p w14:paraId="08BF4377" w14:textId="3119F357" w:rsidR="00B37128" w:rsidRDefault="00B37128">
      <w:pPr>
        <w:pStyle w:val="MdSpace"/>
        <w:spacing w:after="60"/>
      </w:pPr>
    </w:p>
    <w:p w14:paraId="2C8BE2A1" w14:textId="77777777" w:rsidR="00B37128" w:rsidRDefault="00000000" w:rsidP="001336C8">
      <w:pPr>
        <w:pStyle w:val="MdListItem"/>
        <w:numPr>
          <w:ilvl w:val="0"/>
          <w:numId w:val="7"/>
        </w:numPr>
      </w:pPr>
      <w:r>
        <w:rPr>
          <w:rStyle w:val="MdStrong"/>
        </w:rPr>
        <w:t>Anti-Money Laundering and Counter-Terrorism Financing Act 2006 (Cth)</w:t>
      </w:r>
      <w:r>
        <w:t xml:space="preserve"> - The primary legislation governing AML/CTF compliance obligations in Australia</w:t>
      </w:r>
    </w:p>
    <w:p w14:paraId="0D820F63" w14:textId="77777777" w:rsidR="00B37128" w:rsidRDefault="00000000" w:rsidP="001336C8">
      <w:pPr>
        <w:pStyle w:val="MdListItem"/>
        <w:numPr>
          <w:ilvl w:val="0"/>
          <w:numId w:val="7"/>
        </w:numPr>
      </w:pPr>
      <w:r>
        <w:rPr>
          <w:rStyle w:val="MdStrong"/>
        </w:rPr>
        <w:t>Anti-Money Laundering and Counter-Terrorism Financing Rules 2007</w:t>
      </w:r>
      <w:r>
        <w:t xml:space="preserve"> - The regulatory rules specifying detailed compliance requirements</w:t>
      </w:r>
    </w:p>
    <w:p w14:paraId="5194F4B9" w14:textId="57FA3188" w:rsidR="00B37128" w:rsidRDefault="00000000" w:rsidP="001336C8">
      <w:pPr>
        <w:pStyle w:val="MdListItem"/>
        <w:numPr>
          <w:ilvl w:val="0"/>
          <w:numId w:val="7"/>
        </w:numPr>
      </w:pPr>
      <w:r>
        <w:rPr>
          <w:rStyle w:val="MdStrong"/>
        </w:rPr>
        <w:t>AUSTRAC Guidance Materials</w:t>
      </w:r>
      <w:r>
        <w:t xml:space="preserve"> - Including the Customer Identification and Verification Easy Reference Guide and Beneficial Ownership Guidance </w:t>
      </w:r>
    </w:p>
    <w:p w14:paraId="5A7D3A0B" w14:textId="64597C16" w:rsidR="00B37128" w:rsidRDefault="00000000" w:rsidP="001336C8">
      <w:pPr>
        <w:pStyle w:val="MdListItem"/>
        <w:numPr>
          <w:ilvl w:val="0"/>
          <w:numId w:val="7"/>
        </w:numPr>
      </w:pPr>
      <w:r>
        <w:rPr>
          <w:rStyle w:val="MdStrong"/>
        </w:rPr>
        <w:t>AUSTRAC Reliance Guidance</w:t>
      </w:r>
      <w:r>
        <w:t xml:space="preserve"> - Guidance on reliance on third-party customer identification procedures </w:t>
      </w:r>
    </w:p>
    <w:p w14:paraId="5CBD2CEC" w14:textId="77777777" w:rsidR="00B37128" w:rsidRDefault="00000000" w:rsidP="001336C8">
      <w:pPr>
        <w:pStyle w:val="MdListItem"/>
        <w:numPr>
          <w:ilvl w:val="0"/>
          <w:numId w:val="7"/>
        </w:numPr>
      </w:pPr>
      <w:r>
        <w:rPr>
          <w:rStyle w:val="MdStrong"/>
        </w:rPr>
        <w:t>Relevant State and Territory Legislation</w:t>
      </w:r>
      <w:r>
        <w:t xml:space="preserve"> - Including New South Wales, Victoria, Queensland, and other jurisdictions where ELRC operates</w:t>
      </w:r>
    </w:p>
    <w:p w14:paraId="607136F2" w14:textId="77777777" w:rsidR="00B37128" w:rsidRDefault="00B37128">
      <w:pPr>
        <w:pStyle w:val="MdSpace"/>
        <w:spacing w:after="60"/>
      </w:pPr>
    </w:p>
    <w:p w14:paraId="7255BA40" w14:textId="77777777" w:rsidR="00B37128" w:rsidRDefault="00000000">
      <w:pPr>
        <w:pStyle w:val="MdHeading3"/>
      </w:pPr>
      <w:r>
        <w:t>2.2 Organizational Scope</w:t>
      </w:r>
    </w:p>
    <w:p w14:paraId="5DD72F5F" w14:textId="77777777" w:rsidR="00B37128" w:rsidRDefault="00000000">
      <w:pPr>
        <w:pStyle w:val="MdParagraph"/>
      </w:pPr>
      <w:r>
        <w:t>This policy applies to:</w:t>
      </w:r>
    </w:p>
    <w:p w14:paraId="23412E99" w14:textId="77777777" w:rsidR="00B37128" w:rsidRDefault="00B37128">
      <w:pPr>
        <w:pStyle w:val="MdSpace"/>
        <w:spacing w:after="60"/>
      </w:pPr>
    </w:p>
    <w:p w14:paraId="16A56A51" w14:textId="77777777" w:rsidR="00B37128" w:rsidRDefault="00000000" w:rsidP="001336C8">
      <w:pPr>
        <w:pStyle w:val="MdListItem"/>
        <w:numPr>
          <w:ilvl w:val="0"/>
          <w:numId w:val="9"/>
        </w:numPr>
      </w:pPr>
      <w:r>
        <w:t>All employees, directors, and officers of ELRC TRADING Pty Ltd</w:t>
      </w:r>
    </w:p>
    <w:p w14:paraId="62EC6AE2" w14:textId="77777777" w:rsidR="00B37128" w:rsidRDefault="00000000" w:rsidP="001336C8">
      <w:pPr>
        <w:pStyle w:val="MdListItem"/>
        <w:numPr>
          <w:ilvl w:val="0"/>
          <w:numId w:val="9"/>
        </w:numPr>
      </w:pPr>
      <w:r>
        <w:t>All authorized representatives and account holders accessing ELRC services</w:t>
      </w:r>
    </w:p>
    <w:p w14:paraId="22CD488E" w14:textId="679D00A3" w:rsidR="00B37128" w:rsidRDefault="00000000" w:rsidP="001336C8">
      <w:pPr>
        <w:pStyle w:val="MdListItem"/>
        <w:numPr>
          <w:ilvl w:val="0"/>
          <w:numId w:val="9"/>
        </w:numPr>
      </w:pPr>
      <w:r>
        <w:t>All Business Clients conducting transactions through ELRC platforms</w:t>
      </w:r>
    </w:p>
    <w:p w14:paraId="38652B01" w14:textId="77777777" w:rsidR="00B37128" w:rsidRDefault="00000000" w:rsidP="001336C8">
      <w:pPr>
        <w:pStyle w:val="MdListItem"/>
        <w:numPr>
          <w:ilvl w:val="0"/>
          <w:numId w:val="9"/>
        </w:numPr>
      </w:pPr>
      <w:r>
        <w:t>All service providers, agents, and third parties engaged by ELRC to perform functions related to AML/CTF compliance</w:t>
      </w:r>
    </w:p>
    <w:p w14:paraId="1C2FA0C7" w14:textId="77777777" w:rsidR="00B37128" w:rsidRDefault="00000000" w:rsidP="001336C8">
      <w:pPr>
        <w:pStyle w:val="MdListItem"/>
        <w:numPr>
          <w:ilvl w:val="0"/>
          <w:numId w:val="9"/>
        </w:numPr>
      </w:pPr>
      <w:r>
        <w:t>All systems, processes, and platforms operated by or on behalf of ELRC for service delivery</w:t>
      </w:r>
    </w:p>
    <w:p w14:paraId="6A37BCD8" w14:textId="77777777" w:rsidR="00B37128" w:rsidRDefault="00B37128">
      <w:pPr>
        <w:pStyle w:val="MdSpace"/>
        <w:spacing w:after="60"/>
      </w:pPr>
    </w:p>
    <w:p w14:paraId="7754A067" w14:textId="77777777" w:rsidR="00B37128" w:rsidRDefault="00000000">
      <w:pPr>
        <w:pStyle w:val="MdHeading3"/>
      </w:pPr>
      <w:r>
        <w:t>2.3 Transaction Scope</w:t>
      </w:r>
    </w:p>
    <w:p w14:paraId="049A8BE1" w14:textId="77777777" w:rsidR="00B37128" w:rsidRDefault="00000000">
      <w:pPr>
        <w:pStyle w:val="MdParagraph"/>
      </w:pPr>
      <w:r>
        <w:t>This policy applies to all transactions conducted through ELRC, including but not limited to:</w:t>
      </w:r>
    </w:p>
    <w:p w14:paraId="37F4DEFA" w14:textId="77777777" w:rsidR="00B37128" w:rsidRDefault="00B37128">
      <w:pPr>
        <w:pStyle w:val="MdSpace"/>
        <w:spacing w:after="60"/>
      </w:pPr>
    </w:p>
    <w:p w14:paraId="481AE50D" w14:textId="77777777" w:rsidR="00B37128" w:rsidRDefault="00000000" w:rsidP="001336C8">
      <w:pPr>
        <w:pStyle w:val="MdListItem"/>
        <w:numPr>
          <w:ilvl w:val="0"/>
          <w:numId w:val="10"/>
        </w:numPr>
      </w:pPr>
      <w:r>
        <w:t>Digital currency exchange transactions</w:t>
      </w:r>
    </w:p>
    <w:p w14:paraId="4AD20175" w14:textId="77777777" w:rsidR="00B37128" w:rsidRDefault="00000000" w:rsidP="001336C8">
      <w:pPr>
        <w:pStyle w:val="MdListItem"/>
        <w:numPr>
          <w:ilvl w:val="0"/>
          <w:numId w:val="10"/>
        </w:numPr>
      </w:pPr>
      <w:r>
        <w:t>Cross-border payment settlements</w:t>
      </w:r>
    </w:p>
    <w:p w14:paraId="758EC842" w14:textId="77777777" w:rsidR="00B37128" w:rsidRDefault="00000000" w:rsidP="001336C8">
      <w:pPr>
        <w:pStyle w:val="MdListItem"/>
        <w:numPr>
          <w:ilvl w:val="0"/>
          <w:numId w:val="10"/>
        </w:numPr>
      </w:pPr>
      <w:r>
        <w:t>Fiat-to-crypto conversions and vice versa</w:t>
      </w:r>
    </w:p>
    <w:p w14:paraId="01A57541" w14:textId="77777777" w:rsidR="00B37128" w:rsidRDefault="00000000" w:rsidP="001336C8">
      <w:pPr>
        <w:pStyle w:val="MdListItem"/>
        <w:numPr>
          <w:ilvl w:val="0"/>
          <w:numId w:val="10"/>
        </w:numPr>
      </w:pPr>
      <w:r>
        <w:t>International fund transfers</w:t>
      </w:r>
    </w:p>
    <w:p w14:paraId="438FFA08" w14:textId="77777777" w:rsidR="00B37128" w:rsidRDefault="00000000" w:rsidP="001336C8">
      <w:pPr>
        <w:pStyle w:val="MdListItem"/>
        <w:numPr>
          <w:ilvl w:val="0"/>
          <w:numId w:val="10"/>
        </w:numPr>
      </w:pPr>
      <w:r>
        <w:t>Cryptocurrency-to-cryptocurrency exchanges</w:t>
      </w:r>
    </w:p>
    <w:p w14:paraId="0577E053" w14:textId="77777777" w:rsidR="00B37128" w:rsidRDefault="00000000" w:rsidP="001336C8">
      <w:pPr>
        <w:pStyle w:val="MdListItem"/>
        <w:numPr>
          <w:ilvl w:val="0"/>
          <w:numId w:val="10"/>
        </w:numPr>
      </w:pPr>
      <w:r>
        <w:t>Over-the-counter (OTC) transactions</w:t>
      </w:r>
    </w:p>
    <w:p w14:paraId="62E57FCE" w14:textId="77777777" w:rsidR="00B37128" w:rsidRDefault="00B37128">
      <w:pPr>
        <w:pStyle w:val="MdSpace"/>
        <w:spacing w:after="60"/>
      </w:pPr>
    </w:p>
    <w:p w14:paraId="1964EFC2" w14:textId="77777777" w:rsidR="00B37128" w:rsidRDefault="00B37128">
      <w:pPr>
        <w:pStyle w:val="MdHr"/>
        <w:pBdr>
          <w:bottom w:val="single" w:sz="6" w:space="1" w:color="auto"/>
        </w:pBdr>
      </w:pPr>
    </w:p>
    <w:p w14:paraId="504EAADC" w14:textId="77777777" w:rsidR="00B37128" w:rsidRDefault="00B37128">
      <w:pPr>
        <w:pStyle w:val="MdSpace"/>
        <w:spacing w:after="60"/>
      </w:pPr>
    </w:p>
    <w:p w14:paraId="74FD9B67" w14:textId="77777777" w:rsidR="00B37128" w:rsidRDefault="00000000">
      <w:pPr>
        <w:pStyle w:val="MdHeading2"/>
      </w:pPr>
      <w:r>
        <w:lastRenderedPageBreak/>
        <w:t>3. AML/CTF Compliance Obligations</w:t>
      </w:r>
    </w:p>
    <w:p w14:paraId="403FA452" w14:textId="77777777" w:rsidR="00B37128" w:rsidRDefault="00000000">
      <w:pPr>
        <w:pStyle w:val="MdHeading3"/>
      </w:pPr>
      <w:r>
        <w:t>3.1 ELRC's Commitment to Compliance</w:t>
      </w:r>
    </w:p>
    <w:p w14:paraId="648FB8D3" w14:textId="77777777" w:rsidR="00B37128" w:rsidRDefault="00000000">
      <w:pPr>
        <w:pStyle w:val="MdParagraph"/>
      </w:pPr>
      <w:r>
        <w:t>ELRC acknowledges and accepts its status as a "reporting entity" under the AML/CTF Act and commits to:</w:t>
      </w:r>
    </w:p>
    <w:p w14:paraId="78B26B16" w14:textId="77777777" w:rsidR="00B37128" w:rsidRDefault="00B37128">
      <w:pPr>
        <w:pStyle w:val="MdSpace"/>
        <w:spacing w:after="60"/>
      </w:pPr>
    </w:p>
    <w:p w14:paraId="6FC33588" w14:textId="77777777" w:rsidR="00B37128" w:rsidRDefault="00000000" w:rsidP="001336C8">
      <w:pPr>
        <w:pStyle w:val="MdListItem"/>
        <w:numPr>
          <w:ilvl w:val="0"/>
          <w:numId w:val="11"/>
        </w:numPr>
      </w:pPr>
      <w:r>
        <w:rPr>
          <w:rStyle w:val="MdStrong"/>
        </w:rPr>
        <w:t>Customer Identification and Verification</w:t>
      </w:r>
      <w:r>
        <w:t>: Conducting comprehensive customer identification procedures (CIP) and customer due diligence (CDD) before establishing any business relationship or conducting transactions</w:t>
      </w:r>
    </w:p>
    <w:p w14:paraId="2EE99D11" w14:textId="46CEBDAC" w:rsidR="00B37128" w:rsidRDefault="00000000" w:rsidP="001336C8">
      <w:pPr>
        <w:pStyle w:val="MdListItem"/>
        <w:numPr>
          <w:ilvl w:val="0"/>
          <w:numId w:val="11"/>
        </w:numPr>
      </w:pPr>
      <w:r>
        <w:rPr>
          <w:rStyle w:val="MdStrong"/>
        </w:rPr>
        <w:t>Beneficial Owner Identification</w:t>
      </w:r>
      <w:r>
        <w:t>: Identifying and verifying the beneficial owners of all business client entities, including individuals with 25% or greater direct or indirect ownership or control</w:t>
      </w:r>
    </w:p>
    <w:p w14:paraId="533B55FD" w14:textId="146B5D59" w:rsidR="00B37128" w:rsidRDefault="00000000" w:rsidP="001336C8">
      <w:pPr>
        <w:pStyle w:val="MdListItem"/>
        <w:numPr>
          <w:ilvl w:val="0"/>
          <w:numId w:val="11"/>
        </w:numPr>
      </w:pPr>
      <w:r>
        <w:rPr>
          <w:rStyle w:val="MdStrong"/>
        </w:rPr>
        <w:t>Politically Exposed Person (PEP) Screening</w:t>
      </w:r>
      <w:r>
        <w:t>: Screening all clients and beneficial owners against comprehensive databases of politically exposed persons at national and state levels.</w:t>
      </w:r>
    </w:p>
    <w:p w14:paraId="265EA952" w14:textId="77777777" w:rsidR="00B37128" w:rsidRDefault="00000000" w:rsidP="001336C8">
      <w:pPr>
        <w:pStyle w:val="MdListItem"/>
        <w:numPr>
          <w:ilvl w:val="0"/>
          <w:numId w:val="11"/>
        </w:numPr>
      </w:pPr>
      <w:r>
        <w:rPr>
          <w:rStyle w:val="MdStrong"/>
        </w:rPr>
        <w:t>Sanctions List Screening</w:t>
      </w:r>
      <w:r>
        <w:t>: Continuous screening against designated persons lists, including but not limited to OFAC, UN, EU, and domestic Australian sanctions lists</w:t>
      </w:r>
    </w:p>
    <w:p w14:paraId="18928389" w14:textId="77777777" w:rsidR="00B37128" w:rsidRDefault="00000000" w:rsidP="001336C8">
      <w:pPr>
        <w:pStyle w:val="MdListItem"/>
        <w:numPr>
          <w:ilvl w:val="0"/>
          <w:numId w:val="11"/>
        </w:numPr>
      </w:pPr>
      <w:r>
        <w:rPr>
          <w:rStyle w:val="MdStrong"/>
        </w:rPr>
        <w:t>Transaction Monitoring</w:t>
      </w:r>
      <w:r>
        <w:t>: Monitoring all transactions for suspicious or unusual activity patterns that may indicate money laundering or terrorism financing</w:t>
      </w:r>
    </w:p>
    <w:p w14:paraId="47CCE2F4" w14:textId="34592323" w:rsidR="00B37128" w:rsidRDefault="00000000" w:rsidP="001336C8">
      <w:pPr>
        <w:pStyle w:val="MdListItem"/>
        <w:numPr>
          <w:ilvl w:val="0"/>
          <w:numId w:val="11"/>
        </w:numPr>
      </w:pPr>
      <w:r>
        <w:rPr>
          <w:rStyle w:val="MdStrong"/>
        </w:rPr>
        <w:t>Suspicious Activity Reporting</w:t>
      </w:r>
      <w:r>
        <w:t>: Filing Suspicious Matter Reports (SMRs) with the Australian Transaction Reports and Analysis Centre (AUSTRAC) where reportable suspicious matters are identified</w:t>
      </w:r>
    </w:p>
    <w:p w14:paraId="1A2B8FB9" w14:textId="77777777" w:rsidR="00B37128" w:rsidRDefault="00000000" w:rsidP="001336C8">
      <w:pPr>
        <w:pStyle w:val="MdListItem"/>
        <w:numPr>
          <w:ilvl w:val="0"/>
          <w:numId w:val="11"/>
        </w:numPr>
      </w:pPr>
      <w:r>
        <w:rPr>
          <w:rStyle w:val="MdStrong"/>
        </w:rPr>
        <w:t>Record Keeping</w:t>
      </w:r>
      <w:r>
        <w:t>: Maintaining comprehensive records of all compliance activities, customer due diligence, and transaction monitoring for a minimum of seven (7) years</w:t>
      </w:r>
    </w:p>
    <w:p w14:paraId="143560F6" w14:textId="77777777" w:rsidR="00B37128" w:rsidRDefault="00000000" w:rsidP="001336C8">
      <w:pPr>
        <w:pStyle w:val="MdListItem"/>
        <w:numPr>
          <w:ilvl w:val="0"/>
          <w:numId w:val="11"/>
        </w:numPr>
      </w:pPr>
      <w:r>
        <w:rPr>
          <w:rStyle w:val="MdStrong"/>
        </w:rPr>
        <w:t>Staff Training</w:t>
      </w:r>
      <w:r>
        <w:t>: Ensuring all employees and authorized representatives receive regular training on AML/CTF compliance obligations</w:t>
      </w:r>
    </w:p>
    <w:p w14:paraId="5ED56C0C" w14:textId="77777777" w:rsidR="00B37128" w:rsidRDefault="00000000" w:rsidP="001336C8">
      <w:pPr>
        <w:pStyle w:val="MdListItem"/>
        <w:numPr>
          <w:ilvl w:val="0"/>
          <w:numId w:val="11"/>
        </w:numPr>
      </w:pPr>
      <w:r>
        <w:rPr>
          <w:rStyle w:val="MdStrong"/>
        </w:rPr>
        <w:t>Third-Party Risk Management</w:t>
      </w:r>
      <w:r>
        <w:t>: Conducting appropriate due diligence on all third-party service providers and agents, including third-party compliance tool providers, to ensure they maintain equivalent AML/CTF compliance standards</w:t>
      </w:r>
    </w:p>
    <w:p w14:paraId="3C9EE86B" w14:textId="77777777" w:rsidR="00B37128" w:rsidRDefault="00B37128">
      <w:pPr>
        <w:pStyle w:val="MdSpace"/>
        <w:spacing w:after="60"/>
      </w:pPr>
    </w:p>
    <w:p w14:paraId="37472577" w14:textId="77777777" w:rsidR="00B37128" w:rsidRDefault="00B37128">
      <w:pPr>
        <w:pStyle w:val="MdHr"/>
        <w:pBdr>
          <w:bottom w:val="single" w:sz="6" w:space="1" w:color="auto"/>
        </w:pBdr>
      </w:pPr>
    </w:p>
    <w:p w14:paraId="3F7522D8" w14:textId="77777777" w:rsidR="00B37128" w:rsidRDefault="00B37128">
      <w:pPr>
        <w:pStyle w:val="MdSpace"/>
        <w:spacing w:after="60"/>
      </w:pPr>
    </w:p>
    <w:p w14:paraId="0BC67F6E" w14:textId="77777777" w:rsidR="00B37128" w:rsidRDefault="00000000">
      <w:pPr>
        <w:pStyle w:val="MdHeading2"/>
      </w:pPr>
      <w:r>
        <w:t>4. Customer Identification and Verification Procedures</w:t>
      </w:r>
    </w:p>
    <w:p w14:paraId="591352F6" w14:textId="77777777" w:rsidR="00B37128" w:rsidRDefault="00000000">
      <w:pPr>
        <w:pStyle w:val="MdHeading3"/>
      </w:pPr>
      <w:r>
        <w:t>4.1 Timing of Customer Identification</w:t>
      </w:r>
    </w:p>
    <w:p w14:paraId="55628374" w14:textId="77777777" w:rsidR="00B37128" w:rsidRDefault="00000000">
      <w:pPr>
        <w:pStyle w:val="MdParagraph"/>
      </w:pPr>
      <w:r>
        <w:t>ELRC shall undertake customer identification before:</w:t>
      </w:r>
    </w:p>
    <w:p w14:paraId="3F59DC0C" w14:textId="77777777" w:rsidR="00B37128" w:rsidRDefault="00B37128">
      <w:pPr>
        <w:pStyle w:val="MdSpace"/>
        <w:spacing w:after="60"/>
      </w:pPr>
    </w:p>
    <w:p w14:paraId="7A27BDE4" w14:textId="227D8FE8" w:rsidR="00A37BFC" w:rsidRDefault="00A37BFC" w:rsidP="00A37BFC">
      <w:pPr>
        <w:pStyle w:val="MdSpace"/>
        <w:numPr>
          <w:ilvl w:val="0"/>
          <w:numId w:val="24"/>
        </w:numPr>
        <w:spacing w:after="60"/>
        <w:rPr>
          <w:sz w:val="24"/>
          <w:szCs w:val="24"/>
        </w:rPr>
      </w:pPr>
      <w:r>
        <w:rPr>
          <w:sz w:val="24"/>
          <w:szCs w:val="24"/>
        </w:rPr>
        <w:t xml:space="preserve">establishing any business relationship with a client; </w:t>
      </w:r>
    </w:p>
    <w:p w14:paraId="3BF083DE" w14:textId="011A8F63" w:rsidR="00A37BFC" w:rsidRDefault="00A37BFC" w:rsidP="00A37BFC">
      <w:pPr>
        <w:pStyle w:val="MdSpace"/>
        <w:numPr>
          <w:ilvl w:val="0"/>
          <w:numId w:val="24"/>
        </w:numPr>
        <w:spacing w:after="60"/>
        <w:rPr>
          <w:sz w:val="24"/>
          <w:szCs w:val="24"/>
        </w:rPr>
      </w:pPr>
      <w:r>
        <w:rPr>
          <w:sz w:val="24"/>
          <w:szCs w:val="24"/>
        </w:rPr>
        <w:t xml:space="preserve">providing any Services to a client; </w:t>
      </w:r>
    </w:p>
    <w:p w14:paraId="49ABE10C" w14:textId="77777777" w:rsidR="00A37BFC" w:rsidRPr="00A37BFC" w:rsidRDefault="00A37BFC" w:rsidP="00A37BFC">
      <w:pPr>
        <w:pStyle w:val="MdSpace"/>
        <w:numPr>
          <w:ilvl w:val="0"/>
          <w:numId w:val="24"/>
        </w:numPr>
        <w:spacing w:after="60"/>
        <w:rPr>
          <w:sz w:val="24"/>
          <w:szCs w:val="24"/>
        </w:rPr>
      </w:pPr>
      <w:r>
        <w:rPr>
          <w:sz w:val="24"/>
          <w:szCs w:val="24"/>
        </w:rPr>
        <w:t xml:space="preserve">conducting any transaction on behalf of a client, unless an applicable exemption or exception applies under the AML/CTF Act and AML/CTF Rules; </w:t>
      </w:r>
    </w:p>
    <w:p w14:paraId="54643B0E" w14:textId="010F0EBA" w:rsidR="00B37128" w:rsidRDefault="00A37BFC" w:rsidP="00A37BFC">
      <w:pPr>
        <w:pStyle w:val="MdSpace"/>
        <w:numPr>
          <w:ilvl w:val="0"/>
          <w:numId w:val="24"/>
        </w:numPr>
        <w:spacing w:after="60"/>
        <w:rPr>
          <w:sz w:val="24"/>
          <w:szCs w:val="24"/>
        </w:rPr>
      </w:pPr>
      <w:r>
        <w:rPr>
          <w:sz w:val="24"/>
          <w:szCs w:val="24"/>
        </w:rPr>
        <w:lastRenderedPageBreak/>
        <w:t xml:space="preserve">where required by law or where ELRC determines (acting reasonably and in accordance with its risk assessment) that enhanced due diligence is necessary. </w:t>
      </w:r>
    </w:p>
    <w:p w14:paraId="3A62F2F2" w14:textId="77777777" w:rsidR="00A37BFC" w:rsidRPr="00A37BFC" w:rsidRDefault="00A37BFC" w:rsidP="00A37BFC">
      <w:pPr>
        <w:pStyle w:val="MdSpace"/>
        <w:spacing w:after="60"/>
        <w:rPr>
          <w:sz w:val="24"/>
          <w:szCs w:val="24"/>
        </w:rPr>
      </w:pPr>
    </w:p>
    <w:p w14:paraId="6F52ACB0" w14:textId="38E69451" w:rsidR="00B37128" w:rsidRDefault="00A37BFC">
      <w:pPr>
        <w:pStyle w:val="MdSpace"/>
        <w:spacing w:after="60"/>
      </w:pPr>
      <w:r>
        <w:rPr>
          <w:sz w:val="24"/>
          <w:szCs w:val="24"/>
        </w:rPr>
        <w:t>Customer identification may be delayed only in exceptional circumstances where permitted by the AML/CTF Act and AML/CTF Rules.</w:t>
      </w:r>
    </w:p>
    <w:p w14:paraId="51B7D9D1" w14:textId="77777777" w:rsidR="00B37128" w:rsidRDefault="00000000">
      <w:pPr>
        <w:pStyle w:val="MdHeading3"/>
      </w:pPr>
      <w:r>
        <w:t>4.2 Business Client Identification (Australian-Domiciled Entities)</w:t>
      </w:r>
    </w:p>
    <w:p w14:paraId="152C06C3" w14:textId="77777777" w:rsidR="00B37128" w:rsidRDefault="00000000">
      <w:pPr>
        <w:pStyle w:val="MdParagraph"/>
      </w:pPr>
      <w:r>
        <w:t>For business client entities domiciled in Australia, ELRC shall collect and verify:</w:t>
      </w:r>
    </w:p>
    <w:p w14:paraId="550C2687" w14:textId="77777777" w:rsidR="00B37128" w:rsidRDefault="00B37128">
      <w:pPr>
        <w:pStyle w:val="MdSpace"/>
        <w:spacing w:after="60"/>
      </w:pPr>
    </w:p>
    <w:p w14:paraId="4E2EF204" w14:textId="77777777" w:rsidR="00B37128" w:rsidRDefault="00000000">
      <w:pPr>
        <w:pStyle w:val="MdHeading4"/>
      </w:pPr>
      <w:r>
        <w:t>Entity Information:</w:t>
      </w:r>
    </w:p>
    <w:p w14:paraId="7A076FA5" w14:textId="77777777" w:rsidR="00B37128" w:rsidRDefault="00000000">
      <w:pPr>
        <w:pStyle w:val="MdListItem"/>
        <w:numPr>
          <w:ilvl w:val="0"/>
          <w:numId w:val="3"/>
        </w:numPr>
      </w:pPr>
      <w:r>
        <w:t>Legal name of the entity</w:t>
      </w:r>
    </w:p>
    <w:p w14:paraId="0A53183D" w14:textId="77777777" w:rsidR="00B37128" w:rsidRDefault="00000000">
      <w:pPr>
        <w:pStyle w:val="MdListItem"/>
        <w:numPr>
          <w:ilvl w:val="0"/>
          <w:numId w:val="3"/>
        </w:numPr>
      </w:pPr>
      <w:r>
        <w:t>Business registration/incorporation number</w:t>
      </w:r>
    </w:p>
    <w:p w14:paraId="30D5830D" w14:textId="77777777" w:rsidR="00B37128" w:rsidRDefault="00000000">
      <w:pPr>
        <w:pStyle w:val="MdListItem"/>
        <w:numPr>
          <w:ilvl w:val="0"/>
          <w:numId w:val="3"/>
        </w:numPr>
      </w:pPr>
      <w:r>
        <w:t>Type of business entity (company, partnership, trust, cooperative, etc.)</w:t>
      </w:r>
    </w:p>
    <w:p w14:paraId="0A11479E" w14:textId="77777777" w:rsidR="00B37128" w:rsidRDefault="00000000">
      <w:pPr>
        <w:pStyle w:val="MdListItem"/>
        <w:numPr>
          <w:ilvl w:val="0"/>
          <w:numId w:val="3"/>
        </w:numPr>
      </w:pPr>
      <w:r>
        <w:t>Date of incorporation or registration</w:t>
      </w:r>
    </w:p>
    <w:p w14:paraId="53F52D39" w14:textId="77777777" w:rsidR="00B37128" w:rsidRDefault="00000000">
      <w:pPr>
        <w:pStyle w:val="MdListItem"/>
        <w:numPr>
          <w:ilvl w:val="0"/>
          <w:numId w:val="3"/>
        </w:numPr>
      </w:pPr>
      <w:r>
        <w:t>Country and jurisdiction of incorporation (Australia)</w:t>
      </w:r>
    </w:p>
    <w:p w14:paraId="7FD4BFB7" w14:textId="77777777" w:rsidR="00B37128" w:rsidRDefault="00000000">
      <w:pPr>
        <w:pStyle w:val="MdListItem"/>
        <w:numPr>
          <w:ilvl w:val="0"/>
          <w:numId w:val="3"/>
        </w:numPr>
      </w:pPr>
      <w:r>
        <w:t>Registered office address and principal place of business (Australian address)</w:t>
      </w:r>
    </w:p>
    <w:p w14:paraId="1FCBD1C8" w14:textId="77777777" w:rsidR="00B37128" w:rsidRDefault="00000000">
      <w:pPr>
        <w:pStyle w:val="MdListItem"/>
        <w:numPr>
          <w:ilvl w:val="0"/>
          <w:numId w:val="3"/>
        </w:numPr>
      </w:pPr>
      <w:r>
        <w:t>Authorized representatives and officers</w:t>
      </w:r>
    </w:p>
    <w:p w14:paraId="693BBAB3" w14:textId="77777777" w:rsidR="00B37128" w:rsidRDefault="00000000">
      <w:pPr>
        <w:pStyle w:val="MdListItem"/>
        <w:numPr>
          <w:ilvl w:val="0"/>
          <w:numId w:val="3"/>
        </w:numPr>
      </w:pPr>
      <w:r>
        <w:t>Tax identification number (TIN) or Australian Business Number (ABN)</w:t>
      </w:r>
    </w:p>
    <w:p w14:paraId="33764516" w14:textId="77777777" w:rsidR="00B37128" w:rsidRDefault="00000000">
      <w:pPr>
        <w:pStyle w:val="MdListItem"/>
        <w:numPr>
          <w:ilvl w:val="0"/>
          <w:numId w:val="3"/>
        </w:numPr>
      </w:pPr>
      <w:r>
        <w:t>Ultimate beneficial owners (Australian and/or international)</w:t>
      </w:r>
    </w:p>
    <w:p w14:paraId="5B453196" w14:textId="77777777" w:rsidR="00B37128" w:rsidRDefault="00B37128">
      <w:pPr>
        <w:pStyle w:val="MdSpace"/>
        <w:spacing w:after="60"/>
      </w:pPr>
    </w:p>
    <w:p w14:paraId="088C241B" w14:textId="77777777" w:rsidR="00B37128" w:rsidRDefault="00000000">
      <w:pPr>
        <w:pStyle w:val="MdHeading4"/>
      </w:pPr>
      <w:r>
        <w:t>Required Documentation:</w:t>
      </w:r>
    </w:p>
    <w:p w14:paraId="0351E6C5" w14:textId="77777777" w:rsidR="00B37128" w:rsidRDefault="00000000">
      <w:pPr>
        <w:pStyle w:val="MdListItem"/>
        <w:numPr>
          <w:ilvl w:val="0"/>
          <w:numId w:val="3"/>
        </w:numPr>
      </w:pPr>
      <w:r>
        <w:t>Certified copy of Certificate of Incorporation/Registration</w:t>
      </w:r>
    </w:p>
    <w:p w14:paraId="780EC790" w14:textId="7C181DFF" w:rsidR="00B37128" w:rsidRDefault="00000000">
      <w:pPr>
        <w:pStyle w:val="MdListItem"/>
        <w:numPr>
          <w:ilvl w:val="0"/>
          <w:numId w:val="3"/>
        </w:numPr>
      </w:pPr>
      <w:r>
        <w:t>Certified copy of Certificate of Currency (if available)</w:t>
      </w:r>
    </w:p>
    <w:p w14:paraId="6A0AE1C3" w14:textId="77777777" w:rsidR="00B37128" w:rsidRDefault="00000000">
      <w:pPr>
        <w:pStyle w:val="MdListItem"/>
        <w:numPr>
          <w:ilvl w:val="0"/>
          <w:numId w:val="3"/>
        </w:numPr>
      </w:pPr>
      <w:r>
        <w:t>Financial statements (if available)</w:t>
      </w:r>
    </w:p>
    <w:p w14:paraId="3E83EFC0" w14:textId="77777777" w:rsidR="00B37128" w:rsidRDefault="00000000">
      <w:pPr>
        <w:pStyle w:val="MdListItem"/>
        <w:numPr>
          <w:ilvl w:val="0"/>
          <w:numId w:val="3"/>
        </w:numPr>
      </w:pPr>
      <w:r>
        <w:t>Business license or equivalent legally recognized business authorization documents</w:t>
      </w:r>
    </w:p>
    <w:p w14:paraId="66916087" w14:textId="77777777" w:rsidR="00B37128" w:rsidRDefault="00000000">
      <w:pPr>
        <w:pStyle w:val="MdListItem"/>
        <w:numPr>
          <w:ilvl w:val="0"/>
          <w:numId w:val="3"/>
        </w:numPr>
      </w:pPr>
      <w:r>
        <w:t>Articles of Association or Constitution</w:t>
      </w:r>
    </w:p>
    <w:p w14:paraId="72311BB1" w14:textId="77777777" w:rsidR="00B37128" w:rsidRDefault="00000000">
      <w:pPr>
        <w:pStyle w:val="MdListItem"/>
        <w:numPr>
          <w:ilvl w:val="0"/>
          <w:numId w:val="3"/>
        </w:numPr>
      </w:pPr>
      <w:r>
        <w:t>Board resolutions authorizing the account opening and designation of authorized representatives</w:t>
      </w:r>
    </w:p>
    <w:p w14:paraId="610050C8" w14:textId="77777777" w:rsidR="00B37128" w:rsidRDefault="00B37128">
      <w:pPr>
        <w:pStyle w:val="MdSpace"/>
        <w:spacing w:after="60"/>
      </w:pPr>
    </w:p>
    <w:p w14:paraId="6427EFAE" w14:textId="4FFE1BD6" w:rsidR="00B37128" w:rsidRDefault="00000000">
      <w:pPr>
        <w:pStyle w:val="MdHeading3"/>
      </w:pPr>
      <w:r>
        <w:t xml:space="preserve">4.3 Beneficial Owner Identification </w:t>
      </w:r>
    </w:p>
    <w:p w14:paraId="6B22DD0B" w14:textId="77777777" w:rsidR="00B37128" w:rsidRDefault="00000000">
      <w:pPr>
        <w:pStyle w:val="MdParagraph"/>
      </w:pPr>
      <w:r>
        <w:t>ELRC shall identify all beneficial owners of business client entities, defined as:</w:t>
      </w:r>
    </w:p>
    <w:p w14:paraId="3386F259" w14:textId="77777777" w:rsidR="00B37128" w:rsidRDefault="00B37128">
      <w:pPr>
        <w:pStyle w:val="MdSpace"/>
        <w:spacing w:after="60"/>
      </w:pPr>
    </w:p>
    <w:p w14:paraId="5B0C03D7" w14:textId="595CA2F8" w:rsidR="00B37128" w:rsidRDefault="00000000" w:rsidP="001336C8">
      <w:pPr>
        <w:pStyle w:val="MdListItem"/>
        <w:numPr>
          <w:ilvl w:val="0"/>
          <w:numId w:val="13"/>
        </w:numPr>
      </w:pPr>
      <w:r>
        <w:rPr>
          <w:rStyle w:val="MdStrong"/>
        </w:rPr>
        <w:t>Natural persons who directly or indirectly own 25% or more</w:t>
      </w:r>
      <w:r>
        <w:t xml:space="preserve"> of the shares, voting rights, or beneficial interests in the entity</w:t>
      </w:r>
    </w:p>
    <w:p w14:paraId="76FC4231" w14:textId="744BF6F0" w:rsidR="00B37128" w:rsidRDefault="00000000" w:rsidP="001336C8">
      <w:pPr>
        <w:pStyle w:val="MdListItem"/>
        <w:numPr>
          <w:ilvl w:val="0"/>
          <w:numId w:val="13"/>
        </w:numPr>
      </w:pPr>
      <w:r>
        <w:rPr>
          <w:rStyle w:val="MdStrong"/>
        </w:rPr>
        <w:t>Natural persons who directly or indirectly exercise significant control</w:t>
      </w:r>
      <w:r>
        <w:t xml:space="preserve"> over the management or operations of the entity, even if they own less than 25%</w:t>
      </w:r>
    </w:p>
    <w:p w14:paraId="46845201" w14:textId="77777777" w:rsidR="00B37128" w:rsidRDefault="00000000" w:rsidP="001336C8">
      <w:pPr>
        <w:pStyle w:val="MdListItem"/>
        <w:numPr>
          <w:ilvl w:val="0"/>
          <w:numId w:val="13"/>
        </w:numPr>
      </w:pPr>
      <w:r>
        <w:rPr>
          <w:rStyle w:val="MdStrong"/>
        </w:rPr>
        <w:t>Persons through whom financial interests are held</w:t>
      </w:r>
      <w:r>
        <w:t xml:space="preserve"> in a chain of ownership or control arrangements</w:t>
      </w:r>
    </w:p>
    <w:p w14:paraId="5D4AC21C" w14:textId="77777777" w:rsidR="00B37128" w:rsidRDefault="00B37128">
      <w:pPr>
        <w:pStyle w:val="MdSpace"/>
        <w:spacing w:after="60"/>
      </w:pPr>
    </w:p>
    <w:p w14:paraId="27ED0783" w14:textId="4709FE35" w:rsidR="00B37128" w:rsidRDefault="00000000" w:rsidP="00067A01">
      <w:pPr>
        <w:pStyle w:val="MdParagraph"/>
      </w:pPr>
      <w:r>
        <w:rPr>
          <w:rStyle w:val="MdStrong"/>
        </w:rPr>
        <w:t>Important Note on International Beneficial Owners</w:t>
      </w:r>
      <w:r>
        <w:t xml:space="preserve">: While ELRC's client base is limited to Australian-domiciled entities, some of these entities may have beneficial owners residing </w:t>
      </w:r>
      <w:r>
        <w:lastRenderedPageBreak/>
        <w:t>in other jurisdictions. ELRC's screening procedures described in Section 6 are designed to identify and appropriately screen such beneficial owners as part of our standard due diligence process.</w:t>
      </w:r>
    </w:p>
    <w:p w14:paraId="4B45F8B7" w14:textId="77777777" w:rsidR="00B37128" w:rsidRDefault="00000000">
      <w:pPr>
        <w:pStyle w:val="MdParagraph"/>
      </w:pPr>
      <w:r>
        <w:t>For each identified beneficial owner (whether Australian or international), ELRC shall collect and verify:</w:t>
      </w:r>
    </w:p>
    <w:p w14:paraId="5663734C" w14:textId="77777777" w:rsidR="00B37128" w:rsidRDefault="00B37128">
      <w:pPr>
        <w:pStyle w:val="MdSpace"/>
        <w:spacing w:after="60"/>
      </w:pPr>
    </w:p>
    <w:p w14:paraId="404B1D40" w14:textId="77777777" w:rsidR="00B37128" w:rsidRDefault="00000000">
      <w:pPr>
        <w:pStyle w:val="MdListItem"/>
        <w:numPr>
          <w:ilvl w:val="0"/>
          <w:numId w:val="3"/>
        </w:numPr>
      </w:pPr>
      <w:r>
        <w:t>Full legal name</w:t>
      </w:r>
    </w:p>
    <w:p w14:paraId="1CADF6A5" w14:textId="77777777" w:rsidR="00B37128" w:rsidRDefault="00000000">
      <w:pPr>
        <w:pStyle w:val="MdListItem"/>
        <w:numPr>
          <w:ilvl w:val="0"/>
          <w:numId w:val="3"/>
        </w:numPr>
      </w:pPr>
      <w:r>
        <w:t>Date of birth</w:t>
      </w:r>
    </w:p>
    <w:p w14:paraId="58DBDBFA" w14:textId="77777777" w:rsidR="00B37128" w:rsidRDefault="00000000">
      <w:pPr>
        <w:pStyle w:val="MdListItem"/>
        <w:numPr>
          <w:ilvl w:val="0"/>
          <w:numId w:val="3"/>
        </w:numPr>
      </w:pPr>
      <w:r>
        <w:t>Residential address (physical address, not a business address or post office box)</w:t>
      </w:r>
    </w:p>
    <w:p w14:paraId="0592DCF7" w14:textId="77777777" w:rsidR="00B37128" w:rsidRDefault="00000000">
      <w:pPr>
        <w:pStyle w:val="MdListItem"/>
        <w:numPr>
          <w:ilvl w:val="0"/>
          <w:numId w:val="3"/>
        </w:numPr>
      </w:pPr>
      <w:r>
        <w:t>Country of residence</w:t>
      </w:r>
    </w:p>
    <w:p w14:paraId="6E33ACB8" w14:textId="77777777" w:rsidR="00B37128" w:rsidRDefault="00000000">
      <w:pPr>
        <w:pStyle w:val="MdListItem"/>
        <w:numPr>
          <w:ilvl w:val="0"/>
          <w:numId w:val="3"/>
        </w:numPr>
      </w:pPr>
      <w:r>
        <w:t>Nationality</w:t>
      </w:r>
    </w:p>
    <w:p w14:paraId="4F760980" w14:textId="77777777" w:rsidR="00B37128" w:rsidRDefault="00000000">
      <w:pPr>
        <w:pStyle w:val="MdListItem"/>
        <w:numPr>
          <w:ilvl w:val="0"/>
          <w:numId w:val="3"/>
        </w:numPr>
      </w:pPr>
      <w:r>
        <w:t>Identification document number (passport, national ID, driver's license)</w:t>
      </w:r>
    </w:p>
    <w:p w14:paraId="7E575AAC" w14:textId="77777777" w:rsidR="00B37128" w:rsidRDefault="00000000">
      <w:pPr>
        <w:pStyle w:val="MdListItem"/>
        <w:numPr>
          <w:ilvl w:val="0"/>
          <w:numId w:val="3"/>
        </w:numPr>
      </w:pPr>
      <w:r>
        <w:t>Source of funds and wealth</w:t>
      </w:r>
    </w:p>
    <w:p w14:paraId="783E7D41" w14:textId="77777777" w:rsidR="00B37128" w:rsidRDefault="00000000">
      <w:pPr>
        <w:pStyle w:val="MdListItem"/>
        <w:numPr>
          <w:ilvl w:val="0"/>
          <w:numId w:val="3"/>
        </w:numPr>
      </w:pPr>
      <w:r>
        <w:t>Position and role within or in relation to the entity</w:t>
      </w:r>
    </w:p>
    <w:p w14:paraId="105821B9" w14:textId="77777777" w:rsidR="00B37128" w:rsidRDefault="00000000">
      <w:pPr>
        <w:pStyle w:val="MdListItem"/>
        <w:numPr>
          <w:ilvl w:val="0"/>
          <w:numId w:val="3"/>
        </w:numPr>
      </w:pPr>
      <w:r>
        <w:t>Percentage ownership (if applicable)</w:t>
      </w:r>
    </w:p>
    <w:p w14:paraId="20127A78" w14:textId="77777777" w:rsidR="00B37128" w:rsidRDefault="00000000">
      <w:pPr>
        <w:pStyle w:val="MdListItem"/>
        <w:numPr>
          <w:ilvl w:val="0"/>
          <w:numId w:val="3"/>
        </w:numPr>
      </w:pPr>
      <w:r>
        <w:t>Ownership structure diagram (if complex ownership arrangements exist)</w:t>
      </w:r>
    </w:p>
    <w:p w14:paraId="7FF11346" w14:textId="77777777" w:rsidR="00B37128" w:rsidRDefault="00B37128">
      <w:pPr>
        <w:pStyle w:val="MdSpace"/>
        <w:spacing w:after="60"/>
      </w:pPr>
    </w:p>
    <w:p w14:paraId="5E7D61C8" w14:textId="77777777" w:rsidR="00B37128" w:rsidRDefault="00000000">
      <w:pPr>
        <w:pStyle w:val="MdParagraph"/>
      </w:pPr>
      <w:r>
        <w:t>ELRC shall obtain certified copies of:</w:t>
      </w:r>
    </w:p>
    <w:p w14:paraId="0B1D3184" w14:textId="77777777" w:rsidR="00B37128" w:rsidRDefault="00B37128">
      <w:pPr>
        <w:pStyle w:val="MdSpace"/>
        <w:spacing w:after="60"/>
      </w:pPr>
    </w:p>
    <w:p w14:paraId="7A015217" w14:textId="77777777" w:rsidR="00B37128" w:rsidRDefault="00000000">
      <w:pPr>
        <w:pStyle w:val="MdListItem"/>
        <w:numPr>
          <w:ilvl w:val="0"/>
          <w:numId w:val="3"/>
        </w:numPr>
      </w:pPr>
      <w:r>
        <w:t>Valid photo identification documents (passport or national ID)</w:t>
      </w:r>
    </w:p>
    <w:p w14:paraId="1FB744F4" w14:textId="77777777" w:rsidR="00B37128" w:rsidRDefault="00000000">
      <w:pPr>
        <w:pStyle w:val="MdListItem"/>
        <w:numPr>
          <w:ilvl w:val="0"/>
          <w:numId w:val="3"/>
        </w:numPr>
      </w:pPr>
      <w:r>
        <w:t>Recent proof of residential address (dated within last 90 days), such as bank statements, utility bills, or rental agreements</w:t>
      </w:r>
    </w:p>
    <w:p w14:paraId="54DCFD36" w14:textId="77777777" w:rsidR="00B37128" w:rsidRDefault="00000000">
      <w:pPr>
        <w:pStyle w:val="MdListItem"/>
        <w:numPr>
          <w:ilvl w:val="0"/>
          <w:numId w:val="3"/>
        </w:numPr>
      </w:pPr>
      <w:r>
        <w:t>Beneficial ownership declaration signed by an authorized director or officer</w:t>
      </w:r>
    </w:p>
    <w:p w14:paraId="3CEADFC7" w14:textId="77777777" w:rsidR="00B37128" w:rsidRDefault="00B37128">
      <w:pPr>
        <w:pStyle w:val="MdSpace"/>
        <w:spacing w:after="60"/>
      </w:pPr>
    </w:p>
    <w:p w14:paraId="1997A2FF" w14:textId="77777777" w:rsidR="00B37128" w:rsidRDefault="00B37128">
      <w:pPr>
        <w:pStyle w:val="MdHr"/>
        <w:pBdr>
          <w:bottom w:val="single" w:sz="6" w:space="1" w:color="auto"/>
        </w:pBdr>
      </w:pPr>
    </w:p>
    <w:p w14:paraId="6954D1F9" w14:textId="77777777" w:rsidR="00B37128" w:rsidRDefault="00B37128">
      <w:pPr>
        <w:pStyle w:val="MdSpace"/>
        <w:spacing w:after="60"/>
      </w:pPr>
    </w:p>
    <w:p w14:paraId="76082647" w14:textId="77777777" w:rsidR="00B37128" w:rsidRDefault="00000000">
      <w:pPr>
        <w:pStyle w:val="MdHeading2"/>
      </w:pPr>
      <w:r>
        <w:t>5. Politically Exposed Persons (PEPs) Screening</w:t>
      </w:r>
    </w:p>
    <w:p w14:paraId="31B1766B" w14:textId="77777777" w:rsidR="00B37128" w:rsidRDefault="00000000">
      <w:pPr>
        <w:pStyle w:val="MdHeading3"/>
      </w:pPr>
      <w:r>
        <w:t>5.1 PEP Definition</w:t>
      </w:r>
    </w:p>
    <w:p w14:paraId="0018ADAF" w14:textId="77777777" w:rsidR="00B37128" w:rsidRDefault="00000000">
      <w:pPr>
        <w:pStyle w:val="MdParagraph"/>
      </w:pPr>
      <w:r>
        <w:t>A Politically Exposed Person (PEP) is defined as any individual who:</w:t>
      </w:r>
    </w:p>
    <w:p w14:paraId="4DCBB8A3" w14:textId="77777777" w:rsidR="00B37128" w:rsidRDefault="00B37128">
      <w:pPr>
        <w:pStyle w:val="MdSpace"/>
        <w:spacing w:after="60"/>
      </w:pPr>
    </w:p>
    <w:p w14:paraId="1B77298C" w14:textId="77777777" w:rsidR="00B37128" w:rsidRDefault="00000000" w:rsidP="001336C8">
      <w:pPr>
        <w:pStyle w:val="MdListItem"/>
        <w:numPr>
          <w:ilvl w:val="0"/>
          <w:numId w:val="14"/>
        </w:numPr>
      </w:pPr>
      <w:r>
        <w:t>Holds, or has held within the past 12 months, a prominent public position such as:</w:t>
      </w:r>
    </w:p>
    <w:p w14:paraId="4581A94A" w14:textId="77777777" w:rsidR="00B37128" w:rsidRDefault="00000000" w:rsidP="001336C8">
      <w:pPr>
        <w:pStyle w:val="MdListItem"/>
        <w:numPr>
          <w:ilvl w:val="1"/>
          <w:numId w:val="14"/>
        </w:numPr>
      </w:pPr>
      <w:r>
        <w:t>Head of state or head of government</w:t>
      </w:r>
    </w:p>
    <w:p w14:paraId="1A485606" w14:textId="77777777" w:rsidR="00B37128" w:rsidRDefault="00000000" w:rsidP="001336C8">
      <w:pPr>
        <w:pStyle w:val="MdListItem"/>
        <w:numPr>
          <w:ilvl w:val="1"/>
          <w:numId w:val="14"/>
        </w:numPr>
      </w:pPr>
      <w:r>
        <w:t>Senior minister</w:t>
      </w:r>
    </w:p>
    <w:p w14:paraId="6418EB5C" w14:textId="77777777" w:rsidR="00B37128" w:rsidRDefault="00000000" w:rsidP="001336C8">
      <w:pPr>
        <w:pStyle w:val="MdListItem"/>
        <w:numPr>
          <w:ilvl w:val="1"/>
          <w:numId w:val="14"/>
        </w:numPr>
      </w:pPr>
      <w:r>
        <w:t>Senator or member of parliament</w:t>
      </w:r>
    </w:p>
    <w:p w14:paraId="2B0A17B1" w14:textId="77777777" w:rsidR="00B37128" w:rsidRDefault="00000000" w:rsidP="001336C8">
      <w:pPr>
        <w:pStyle w:val="MdListItem"/>
        <w:numPr>
          <w:ilvl w:val="1"/>
          <w:numId w:val="14"/>
        </w:numPr>
      </w:pPr>
      <w:r>
        <w:t>Judge, military officer, or senior government official</w:t>
      </w:r>
    </w:p>
    <w:p w14:paraId="3D3BB106" w14:textId="77777777" w:rsidR="00B37128" w:rsidRDefault="00000000" w:rsidP="001336C8">
      <w:pPr>
        <w:pStyle w:val="MdListItem"/>
        <w:numPr>
          <w:ilvl w:val="1"/>
          <w:numId w:val="14"/>
        </w:numPr>
      </w:pPr>
      <w:r>
        <w:t>Chief executive officer of a state-owned enterprise</w:t>
      </w:r>
    </w:p>
    <w:p w14:paraId="36031736" w14:textId="77777777" w:rsidR="00B37128" w:rsidRDefault="00000000" w:rsidP="001336C8">
      <w:pPr>
        <w:pStyle w:val="MdListItem"/>
        <w:numPr>
          <w:ilvl w:val="1"/>
          <w:numId w:val="14"/>
        </w:numPr>
      </w:pPr>
      <w:r>
        <w:t>Senior executive of an international organization</w:t>
      </w:r>
    </w:p>
    <w:p w14:paraId="2F9E38E7" w14:textId="77777777" w:rsidR="00B37128" w:rsidRDefault="00000000" w:rsidP="001336C8">
      <w:pPr>
        <w:pStyle w:val="MdListItem"/>
        <w:numPr>
          <w:ilvl w:val="0"/>
          <w:numId w:val="14"/>
        </w:numPr>
      </w:pPr>
      <w:r>
        <w:t>Is an immediate family member (spouse, child, parent, sibling) of any person described above</w:t>
      </w:r>
    </w:p>
    <w:p w14:paraId="63F9B7EE" w14:textId="77777777" w:rsidR="00B37128" w:rsidRDefault="00000000" w:rsidP="001336C8">
      <w:pPr>
        <w:pStyle w:val="MdListItem"/>
        <w:numPr>
          <w:ilvl w:val="0"/>
          <w:numId w:val="14"/>
        </w:numPr>
      </w:pPr>
      <w:r>
        <w:t>Is a known close associate of any person described above</w:t>
      </w:r>
    </w:p>
    <w:p w14:paraId="7E120045" w14:textId="77777777" w:rsidR="00B37128" w:rsidRDefault="00000000" w:rsidP="001336C8">
      <w:pPr>
        <w:pStyle w:val="MdListItem"/>
        <w:numPr>
          <w:ilvl w:val="0"/>
          <w:numId w:val="14"/>
        </w:numPr>
      </w:pPr>
      <w:r>
        <w:lastRenderedPageBreak/>
        <w:t>Is the beneficial owner of a business entity in which a PEP holds a significant interest</w:t>
      </w:r>
    </w:p>
    <w:p w14:paraId="13A15CF7" w14:textId="77777777" w:rsidR="00B37128" w:rsidRDefault="00B37128">
      <w:pPr>
        <w:pStyle w:val="MdSpace"/>
        <w:spacing w:after="60"/>
      </w:pPr>
    </w:p>
    <w:p w14:paraId="307839FC" w14:textId="77777777" w:rsidR="00B37128" w:rsidRDefault="00000000">
      <w:pPr>
        <w:pStyle w:val="MdHeading3"/>
      </w:pPr>
      <w:r>
        <w:t>5.2 PEP Screening Procedures</w:t>
      </w:r>
    </w:p>
    <w:p w14:paraId="0F55529D" w14:textId="2A899443" w:rsidR="00B37128" w:rsidRDefault="00067A01">
      <w:pPr>
        <w:pStyle w:val="MdParagraph"/>
      </w:pPr>
      <w:r>
        <w:t>ELRC screens all clients and beneficial owners against comprehensive PEP databases, with a primary focus on Australian national and state-level politically exposed persons. Screening includes:</w:t>
      </w:r>
    </w:p>
    <w:p w14:paraId="574F113F" w14:textId="77777777" w:rsidR="00B37128" w:rsidRDefault="00B37128">
      <w:pPr>
        <w:pStyle w:val="MdSpace"/>
        <w:spacing w:after="60"/>
      </w:pPr>
    </w:p>
    <w:p w14:paraId="0F559148" w14:textId="77777777" w:rsidR="00B37128" w:rsidRDefault="00000000">
      <w:pPr>
        <w:pStyle w:val="MdListItem"/>
        <w:numPr>
          <w:ilvl w:val="0"/>
          <w:numId w:val="3"/>
        </w:numPr>
      </w:pPr>
      <w:r>
        <w:t>AUSTRAC PEP databases</w:t>
      </w:r>
    </w:p>
    <w:p w14:paraId="7AB8CE14" w14:textId="77777777" w:rsidR="00B37128" w:rsidRDefault="00000000">
      <w:pPr>
        <w:pStyle w:val="MdListItem"/>
        <w:numPr>
          <w:ilvl w:val="0"/>
          <w:numId w:val="3"/>
        </w:numPr>
      </w:pPr>
      <w:r>
        <w:t>Commercial PEP screening database providers (see Section 6.4 below)</w:t>
      </w:r>
    </w:p>
    <w:p w14:paraId="1EC6BC72" w14:textId="77777777" w:rsidR="00B37128" w:rsidRDefault="00000000">
      <w:pPr>
        <w:pStyle w:val="MdListItem"/>
        <w:numPr>
          <w:ilvl w:val="0"/>
          <w:numId w:val="3"/>
        </w:numPr>
      </w:pPr>
      <w:r>
        <w:t>Media screening and adverse news databases</w:t>
      </w:r>
    </w:p>
    <w:p w14:paraId="49381989" w14:textId="77777777" w:rsidR="00B37128" w:rsidRDefault="00B37128">
      <w:pPr>
        <w:pStyle w:val="MdSpace"/>
        <w:spacing w:after="60"/>
      </w:pPr>
    </w:p>
    <w:p w14:paraId="0838787C" w14:textId="77777777" w:rsidR="00B37128" w:rsidRDefault="00000000">
      <w:pPr>
        <w:pStyle w:val="MdParagraph"/>
      </w:pPr>
      <w:r>
        <w:t>Screening shall be performed:</w:t>
      </w:r>
    </w:p>
    <w:p w14:paraId="7972ED1B" w14:textId="77777777" w:rsidR="00B37128" w:rsidRDefault="00B37128">
      <w:pPr>
        <w:pStyle w:val="MdSpace"/>
        <w:spacing w:after="60"/>
      </w:pPr>
    </w:p>
    <w:p w14:paraId="48FF30A0" w14:textId="77777777" w:rsidR="00B37128" w:rsidRDefault="00000000" w:rsidP="001336C8">
      <w:pPr>
        <w:pStyle w:val="MdListItem"/>
        <w:numPr>
          <w:ilvl w:val="0"/>
          <w:numId w:val="15"/>
        </w:numPr>
      </w:pPr>
      <w:r>
        <w:rPr>
          <w:rStyle w:val="MdStrong"/>
        </w:rPr>
        <w:t>At client onboarding</w:t>
      </w:r>
      <w:r>
        <w:t xml:space="preserve"> - Prior to account establishment</w:t>
      </w:r>
    </w:p>
    <w:p w14:paraId="00F941B8" w14:textId="77777777" w:rsidR="00B37128" w:rsidRDefault="00000000" w:rsidP="001336C8">
      <w:pPr>
        <w:pStyle w:val="MdListItem"/>
        <w:numPr>
          <w:ilvl w:val="0"/>
          <w:numId w:val="15"/>
        </w:numPr>
      </w:pPr>
      <w:r>
        <w:rPr>
          <w:rStyle w:val="MdStrong"/>
        </w:rPr>
        <w:t>On a continuous basis</w:t>
      </w:r>
      <w:r>
        <w:t xml:space="preserve"> - At least quarterly or when new information becomes available</w:t>
      </w:r>
    </w:p>
    <w:p w14:paraId="755AF047" w14:textId="77777777" w:rsidR="00B37128" w:rsidRDefault="00000000" w:rsidP="001336C8">
      <w:pPr>
        <w:pStyle w:val="MdListItem"/>
        <w:numPr>
          <w:ilvl w:val="0"/>
          <w:numId w:val="15"/>
        </w:numPr>
      </w:pPr>
      <w:r>
        <w:rPr>
          <w:rStyle w:val="MdStrong"/>
        </w:rPr>
        <w:t>At transaction initiation</w:t>
      </w:r>
      <w:r>
        <w:t xml:space="preserve"> - Before processing large or unusual transactions</w:t>
      </w:r>
    </w:p>
    <w:p w14:paraId="3CC0DC17" w14:textId="77777777" w:rsidR="00B37128" w:rsidRDefault="00000000" w:rsidP="001336C8">
      <w:pPr>
        <w:pStyle w:val="MdListItem"/>
        <w:numPr>
          <w:ilvl w:val="0"/>
          <w:numId w:val="15"/>
        </w:numPr>
      </w:pPr>
      <w:r>
        <w:rPr>
          <w:rStyle w:val="MdStrong"/>
        </w:rPr>
        <w:t>Upon change of beneficial ownership</w:t>
      </w:r>
      <w:r>
        <w:t xml:space="preserve"> - When client updates their ownership structure</w:t>
      </w:r>
    </w:p>
    <w:p w14:paraId="4DC82CCE" w14:textId="77777777" w:rsidR="00B37128" w:rsidRDefault="00B37128">
      <w:pPr>
        <w:pStyle w:val="MdSpace"/>
        <w:spacing w:after="60"/>
      </w:pPr>
    </w:p>
    <w:p w14:paraId="136BBB7F" w14:textId="77777777" w:rsidR="00B37128" w:rsidRDefault="00000000">
      <w:pPr>
        <w:pStyle w:val="MdHeading3"/>
      </w:pPr>
      <w:r>
        <w:t>5.3 PEP Escalation Procedures</w:t>
      </w:r>
    </w:p>
    <w:p w14:paraId="2704B6C1" w14:textId="77777777" w:rsidR="00B37128" w:rsidRDefault="00000000">
      <w:pPr>
        <w:pStyle w:val="MdParagraph"/>
      </w:pPr>
      <w:r>
        <w:t>If a client, beneficial owner, or authorized representative is identified as a PEP or PEP-related:</w:t>
      </w:r>
    </w:p>
    <w:p w14:paraId="7AE3C5C1" w14:textId="77777777" w:rsidR="00B37128" w:rsidRDefault="00B37128">
      <w:pPr>
        <w:pStyle w:val="MdSpace"/>
        <w:spacing w:after="60"/>
      </w:pPr>
    </w:p>
    <w:p w14:paraId="0F266D6F" w14:textId="77777777" w:rsidR="00B37128" w:rsidRDefault="00000000" w:rsidP="001336C8">
      <w:pPr>
        <w:pStyle w:val="MdListItem"/>
        <w:numPr>
          <w:ilvl w:val="0"/>
          <w:numId w:val="16"/>
        </w:numPr>
      </w:pPr>
      <w:r>
        <w:t>Escalate immediately to the Compliance Officer</w:t>
      </w:r>
    </w:p>
    <w:p w14:paraId="5040F997" w14:textId="77777777" w:rsidR="00B37128" w:rsidRDefault="00000000" w:rsidP="001336C8">
      <w:pPr>
        <w:pStyle w:val="MdListItem"/>
        <w:numPr>
          <w:ilvl w:val="0"/>
          <w:numId w:val="16"/>
        </w:numPr>
      </w:pPr>
      <w:r>
        <w:t>Conduct enhanced due diligence (EDD) including:</w:t>
      </w:r>
    </w:p>
    <w:p w14:paraId="67B3ED85" w14:textId="77777777" w:rsidR="00B37128" w:rsidRDefault="00000000" w:rsidP="001336C8">
      <w:pPr>
        <w:pStyle w:val="MdListItem"/>
        <w:numPr>
          <w:ilvl w:val="1"/>
          <w:numId w:val="16"/>
        </w:numPr>
      </w:pPr>
      <w:r>
        <w:t>Verification of source of wealth and source of funds</w:t>
      </w:r>
    </w:p>
    <w:p w14:paraId="7CABF515" w14:textId="77777777" w:rsidR="00B37128" w:rsidRDefault="00000000" w:rsidP="001336C8">
      <w:pPr>
        <w:pStyle w:val="MdListItem"/>
        <w:numPr>
          <w:ilvl w:val="1"/>
          <w:numId w:val="16"/>
        </w:numPr>
      </w:pPr>
      <w:r>
        <w:t>Verification of business rationale and legitimacy</w:t>
      </w:r>
    </w:p>
    <w:p w14:paraId="6BE62ACD" w14:textId="77777777" w:rsidR="00B37128" w:rsidRDefault="00000000" w:rsidP="001336C8">
      <w:pPr>
        <w:pStyle w:val="MdListItem"/>
        <w:numPr>
          <w:ilvl w:val="1"/>
          <w:numId w:val="16"/>
        </w:numPr>
      </w:pPr>
      <w:r>
        <w:t>Enhanced ongoing transaction monitoring</w:t>
      </w:r>
    </w:p>
    <w:p w14:paraId="7804E432" w14:textId="77777777" w:rsidR="00B37128" w:rsidRDefault="00000000" w:rsidP="001336C8">
      <w:pPr>
        <w:pStyle w:val="MdListItem"/>
        <w:numPr>
          <w:ilvl w:val="1"/>
          <w:numId w:val="16"/>
        </w:numPr>
      </w:pPr>
      <w:r>
        <w:t>Review of client's background and public records</w:t>
      </w:r>
    </w:p>
    <w:p w14:paraId="6EB33764" w14:textId="77777777" w:rsidR="00B37128" w:rsidRDefault="00000000" w:rsidP="001336C8">
      <w:pPr>
        <w:pStyle w:val="MdListItem"/>
        <w:numPr>
          <w:ilvl w:val="0"/>
          <w:numId w:val="16"/>
        </w:numPr>
      </w:pPr>
      <w:r>
        <w:t>Obtain approval from senior management before proceeding with the business relationship</w:t>
      </w:r>
    </w:p>
    <w:p w14:paraId="6C60E073" w14:textId="77777777" w:rsidR="00B37128" w:rsidRDefault="00000000" w:rsidP="001336C8">
      <w:pPr>
        <w:pStyle w:val="MdListItem"/>
        <w:numPr>
          <w:ilvl w:val="0"/>
          <w:numId w:val="16"/>
        </w:numPr>
      </w:pPr>
      <w:r>
        <w:t>Document the enhanced due diligence findings and decisions</w:t>
      </w:r>
    </w:p>
    <w:p w14:paraId="5B8F95FC" w14:textId="77777777" w:rsidR="00B37128" w:rsidRDefault="00000000" w:rsidP="001336C8">
      <w:pPr>
        <w:pStyle w:val="MdListItem"/>
        <w:numPr>
          <w:ilvl w:val="0"/>
          <w:numId w:val="16"/>
        </w:numPr>
      </w:pPr>
      <w:r>
        <w:t>Implement enhanced ongoing transaction monitoring</w:t>
      </w:r>
    </w:p>
    <w:p w14:paraId="2E79C847" w14:textId="77777777" w:rsidR="00B37128" w:rsidRDefault="00B37128">
      <w:pPr>
        <w:pStyle w:val="MdSpace"/>
        <w:spacing w:after="60"/>
      </w:pPr>
    </w:p>
    <w:p w14:paraId="11051C92" w14:textId="77777777" w:rsidR="00B37128" w:rsidRDefault="00B37128">
      <w:pPr>
        <w:pStyle w:val="MdHr"/>
        <w:pBdr>
          <w:bottom w:val="single" w:sz="6" w:space="1" w:color="auto"/>
        </w:pBdr>
      </w:pPr>
    </w:p>
    <w:p w14:paraId="0C25B92D" w14:textId="77777777" w:rsidR="00B37128" w:rsidRDefault="00B37128">
      <w:pPr>
        <w:pStyle w:val="MdSpace"/>
        <w:spacing w:after="60"/>
      </w:pPr>
    </w:p>
    <w:p w14:paraId="1E3DA64D" w14:textId="77777777" w:rsidR="00B37128" w:rsidRDefault="00000000">
      <w:pPr>
        <w:pStyle w:val="MdHeading2"/>
      </w:pPr>
      <w:r>
        <w:lastRenderedPageBreak/>
        <w:t>6. Sanctions Screening Procedures (Using Third-Party Tools)</w:t>
      </w:r>
    </w:p>
    <w:p w14:paraId="3E219F3B" w14:textId="77777777" w:rsidR="00B37128" w:rsidRDefault="00000000">
      <w:pPr>
        <w:pStyle w:val="MdHeading3"/>
      </w:pPr>
      <w:r>
        <w:t>6.1 ELRC's Sanctions Screening Approach</w:t>
      </w:r>
    </w:p>
    <w:p w14:paraId="2AE66A4F" w14:textId="77777777" w:rsidR="00B37128" w:rsidRDefault="00000000">
      <w:pPr>
        <w:pStyle w:val="MdParagraph"/>
      </w:pPr>
      <w:r>
        <w:t>ELRC recognizes that while its current client base consists of Australian-domiciled entities, many of these entities may have:</w:t>
      </w:r>
    </w:p>
    <w:p w14:paraId="6489244D" w14:textId="77777777" w:rsidR="00B37128" w:rsidRDefault="00000000">
      <w:pPr>
        <w:pStyle w:val="MdListItem"/>
        <w:numPr>
          <w:ilvl w:val="0"/>
          <w:numId w:val="3"/>
        </w:numPr>
      </w:pPr>
      <w:r>
        <w:t>Beneficial owners residing in other jurisdictions</w:t>
      </w:r>
    </w:p>
    <w:p w14:paraId="7C428260" w14:textId="77777777" w:rsidR="00B37128" w:rsidRDefault="00000000">
      <w:pPr>
        <w:pStyle w:val="MdListItem"/>
        <w:numPr>
          <w:ilvl w:val="0"/>
          <w:numId w:val="3"/>
        </w:numPr>
      </w:pPr>
      <w:r>
        <w:t>International business operations and counterparties</w:t>
      </w:r>
    </w:p>
    <w:p w14:paraId="1E908600" w14:textId="77777777" w:rsidR="00B37128" w:rsidRDefault="00000000">
      <w:pPr>
        <w:pStyle w:val="MdListItem"/>
        <w:numPr>
          <w:ilvl w:val="0"/>
          <w:numId w:val="3"/>
        </w:numPr>
      </w:pPr>
      <w:r>
        <w:t>Transactions involving international parties subject to various sanctions regimes</w:t>
      </w:r>
    </w:p>
    <w:p w14:paraId="297181D9" w14:textId="77777777" w:rsidR="00B37128" w:rsidRDefault="00B37128">
      <w:pPr>
        <w:pStyle w:val="MdSpace"/>
        <w:spacing w:after="60"/>
      </w:pPr>
    </w:p>
    <w:p w14:paraId="028F1F21" w14:textId="77777777" w:rsidR="00B37128" w:rsidRDefault="00000000">
      <w:pPr>
        <w:pStyle w:val="MdParagraph"/>
      </w:pPr>
      <w:r>
        <w:t xml:space="preserve">To ensure comprehensive sanctions compliance, ELRC has determined that </w:t>
      </w:r>
      <w:r>
        <w:rPr>
          <w:rStyle w:val="MdStrong"/>
        </w:rPr>
        <w:t>utilizing third-party professional sanctions screening tools is the most effective and cost-efficient approach</w:t>
      </w:r>
      <w:r>
        <w:t>. This decision aligns with Australian AML/CTF compliance best practices and AUSTRAC guidance on the use of reliable third parties for compliance functions.</w:t>
      </w:r>
    </w:p>
    <w:p w14:paraId="47A9D86E" w14:textId="77777777" w:rsidR="00B37128" w:rsidRDefault="00B37128">
      <w:pPr>
        <w:pStyle w:val="MdSpace"/>
        <w:spacing w:after="60"/>
      </w:pPr>
    </w:p>
    <w:p w14:paraId="59E0CA94" w14:textId="77777777" w:rsidR="00B37128" w:rsidRDefault="00000000">
      <w:pPr>
        <w:pStyle w:val="MdHeading3"/>
      </w:pPr>
      <w:r>
        <w:t>6.2 Legal Basis for Third-Party Tool Use</w:t>
      </w:r>
    </w:p>
    <w:p w14:paraId="1FC87FB6" w14:textId="1CC8A554" w:rsidR="00B37128" w:rsidRDefault="00000000">
      <w:pPr>
        <w:pStyle w:val="MdParagraph"/>
      </w:pPr>
      <w:r>
        <w:t xml:space="preserve">Under the </w:t>
      </w:r>
      <w:r>
        <w:rPr>
          <w:rStyle w:val="MdEm"/>
        </w:rPr>
        <w:t>Anti-Money Laundering and Counter-Terrorism Financing Act 2006</w:t>
      </w:r>
      <w:r>
        <w:t xml:space="preserve"> (Cth), Section 37A and 38, ELRC is permitted to rely on customer identification and verification procedures undertaken by reliable third parties, provided that:</w:t>
      </w:r>
    </w:p>
    <w:p w14:paraId="69D82AD4" w14:textId="77777777" w:rsidR="00B37128" w:rsidRDefault="00B37128">
      <w:pPr>
        <w:pStyle w:val="MdSpace"/>
        <w:spacing w:after="60"/>
      </w:pPr>
    </w:p>
    <w:p w14:paraId="24EFEC52" w14:textId="77777777" w:rsidR="00B37128" w:rsidRDefault="00000000" w:rsidP="001336C8">
      <w:pPr>
        <w:pStyle w:val="MdListItem"/>
        <w:numPr>
          <w:ilvl w:val="0"/>
          <w:numId w:val="17"/>
        </w:numPr>
      </w:pPr>
      <w:r>
        <w:t>ELRC has reasonable grounds to believe that the third party has appropriate AML/CTF systems and controls</w:t>
      </w:r>
    </w:p>
    <w:p w14:paraId="2349CF72" w14:textId="7C5787E0" w:rsidR="00B37128" w:rsidRDefault="00000000" w:rsidP="001336C8">
      <w:pPr>
        <w:pStyle w:val="MdListItem"/>
        <w:numPr>
          <w:ilvl w:val="0"/>
          <w:numId w:val="17"/>
        </w:numPr>
      </w:pPr>
      <w:r>
        <w:t>ELRC has entered into appropriate arrangements with the third party (such as a master service agreement)</w:t>
      </w:r>
    </w:p>
    <w:p w14:paraId="61A81118" w14:textId="40FA7B50" w:rsidR="00B37128" w:rsidRDefault="00000000" w:rsidP="001336C8">
      <w:pPr>
        <w:pStyle w:val="MdListItem"/>
        <w:numPr>
          <w:ilvl w:val="0"/>
          <w:numId w:val="17"/>
        </w:numPr>
      </w:pPr>
      <w:r>
        <w:t>ELRC conducts appropriate due diligence on the third party before relying on their services</w:t>
      </w:r>
    </w:p>
    <w:p w14:paraId="07A4A6E8" w14:textId="77777777" w:rsidR="00B37128" w:rsidRDefault="00B37128">
      <w:pPr>
        <w:pStyle w:val="MdSpace"/>
        <w:spacing w:after="60"/>
      </w:pPr>
    </w:p>
    <w:p w14:paraId="52A3B5F2" w14:textId="77777777" w:rsidR="00B37128" w:rsidRDefault="00000000">
      <w:pPr>
        <w:pStyle w:val="MdParagraph"/>
      </w:pPr>
      <w:r>
        <w:t>This legal framework directly applies to third-party sanctions screening tools and procedures.</w:t>
      </w:r>
    </w:p>
    <w:p w14:paraId="6D87F06F" w14:textId="77777777" w:rsidR="00B37128" w:rsidRDefault="00B37128">
      <w:pPr>
        <w:pStyle w:val="MdSpace"/>
        <w:spacing w:after="60"/>
      </w:pPr>
    </w:p>
    <w:p w14:paraId="131FC544" w14:textId="77777777" w:rsidR="00B37128" w:rsidRDefault="00000000">
      <w:pPr>
        <w:pStyle w:val="MdHeading3"/>
      </w:pPr>
      <w:r>
        <w:t>6.3 Third-Party Screening Tool Provider</w:t>
      </w:r>
    </w:p>
    <w:p w14:paraId="1CA2CC61" w14:textId="158AABDD" w:rsidR="004F1FD4" w:rsidRDefault="004F1FD4">
      <w:pPr>
        <w:pStyle w:val="MdParagraph"/>
        <w:rPr>
          <w:rStyle w:val="MdStrong"/>
          <w:b w:val="0"/>
          <w:bCs w:val="0"/>
        </w:rPr>
      </w:pPr>
      <w:r>
        <w:t>ELRC has engaged a reputable third-party sanctions screening tool provider (ComplyAdvantage) to perform automated sanctions screening.</w:t>
      </w:r>
      <w:r>
        <w:rPr>
          <w:rStyle w:val="MdStrong"/>
          <w:b w:val="0"/>
          <w:bCs w:val="0"/>
        </w:rPr>
        <w:t xml:space="preserve"> </w:t>
      </w:r>
    </w:p>
    <w:p w14:paraId="407ABD8C" w14:textId="23B2C7AC" w:rsidR="00B37128" w:rsidRPr="00ED1190" w:rsidRDefault="00000000">
      <w:pPr>
        <w:pStyle w:val="MdParagraph"/>
      </w:pPr>
      <w:r>
        <w:rPr>
          <w:rStyle w:val="MdStrong"/>
        </w:rPr>
        <w:t>Key Arrangement Details</w:t>
      </w:r>
      <w:r>
        <w:t>:</w:t>
      </w:r>
    </w:p>
    <w:p w14:paraId="3FC66C17" w14:textId="0900EEB8" w:rsidR="00B37128" w:rsidRPr="00ED1190" w:rsidRDefault="00000000" w:rsidP="00ED1190">
      <w:pPr>
        <w:pStyle w:val="MdListItem"/>
        <w:numPr>
          <w:ilvl w:val="0"/>
          <w:numId w:val="4"/>
        </w:numPr>
      </w:pPr>
      <w:r>
        <w:rPr>
          <w:rStyle w:val="MdStrong"/>
        </w:rPr>
        <w:t>Tool Provider</w:t>
      </w:r>
      <w:r>
        <w:t>: ComplyAdvantage</w:t>
      </w:r>
    </w:p>
    <w:p w14:paraId="3A2D8C17" w14:textId="77777777" w:rsidR="00B37128" w:rsidRPr="00ED1190" w:rsidRDefault="00000000">
      <w:pPr>
        <w:pStyle w:val="MdListItem"/>
        <w:numPr>
          <w:ilvl w:val="0"/>
          <w:numId w:val="3"/>
        </w:numPr>
      </w:pPr>
      <w:r>
        <w:rPr>
          <w:rStyle w:val="MdStrong"/>
        </w:rPr>
        <w:t>Screening Lists Covered</w:t>
      </w:r>
      <w:r>
        <w:t>:</w:t>
      </w:r>
    </w:p>
    <w:p w14:paraId="27EE682B" w14:textId="62A0ECA2" w:rsidR="00B37128" w:rsidRPr="00ED1190" w:rsidRDefault="00000000" w:rsidP="003F6493">
      <w:pPr>
        <w:pStyle w:val="MdListItem"/>
        <w:numPr>
          <w:ilvl w:val="1"/>
          <w:numId w:val="25"/>
        </w:numPr>
      </w:pPr>
      <w:r>
        <w:t>Australian DFAT Consolidated Sanctions List (primary Australian requirement)</w:t>
      </w:r>
    </w:p>
    <w:p w14:paraId="27EE682C" w14:textId="62A0ECA3" w:rsidR="00B37128" w:rsidRPr="00ED1190" w:rsidRDefault="00000000" w:rsidP="003F6493">
      <w:pPr>
        <w:pStyle w:val="MdListItem"/>
        <w:numPr>
          <w:ilvl w:val="1"/>
          <w:numId w:val="25"/>
        </w:numPr>
      </w:pPr>
      <w:r>
        <w:t>OFAC SDN List (US Treasury — Office of Foreign Assets Control)</w:t>
      </w:r>
    </w:p>
    <w:p w14:paraId="27EE682D" w14:textId="62A0ECA4" w:rsidR="00B37128" w:rsidRPr="00ED1190" w:rsidRDefault="00000000" w:rsidP="003F6493">
      <w:pPr>
        <w:pStyle w:val="MdListItem"/>
        <w:numPr>
          <w:ilvl w:val="1"/>
          <w:numId w:val="25"/>
        </w:numPr>
      </w:pPr>
      <w:r>
        <w:t>UN Security Council Consolidated List</w:t>
      </w:r>
    </w:p>
    <w:p w14:paraId="27EE682E" w14:textId="62A0ECA5" w:rsidR="00B37128" w:rsidRPr="00ED1190" w:rsidRDefault="00000000" w:rsidP="003F6493">
      <w:pPr>
        <w:pStyle w:val="MdListItem"/>
        <w:numPr>
          <w:ilvl w:val="1"/>
          <w:numId w:val="25"/>
        </w:numPr>
      </w:pPr>
      <w:r>
        <w:t>EU Consolidated Sanctions List</w:t>
      </w:r>
    </w:p>
    <w:p w14:paraId="27EE682F" w14:textId="62A0ECA6" w:rsidR="00B37128" w:rsidRPr="00ED1190" w:rsidRDefault="00000000" w:rsidP="003F6493">
      <w:pPr>
        <w:pStyle w:val="MdListItem"/>
        <w:numPr>
          <w:ilvl w:val="1"/>
          <w:numId w:val="25"/>
        </w:numPr>
      </w:pPr>
      <w:r>
        <w:t>HMT Financial Sanctions List (His Majesty’s Treasury, UK)</w:t>
      </w:r>
    </w:p>
    <w:p w14:paraId="27EE6830" w14:textId="62A0ECA7" w:rsidR="00B37128" w:rsidRPr="00ED1190" w:rsidRDefault="00000000" w:rsidP="003F6493">
      <w:pPr>
        <w:pStyle w:val="MdListItem"/>
        <w:numPr>
          <w:ilvl w:val="1"/>
          <w:numId w:val="25"/>
        </w:numPr>
      </w:pPr>
      <w:r>
        <w:t>Global PEP (Politically Exposed Persons) databases</w:t>
      </w:r>
    </w:p>
    <w:p w14:paraId="4279D034" w14:textId="4F776743" w:rsidR="00B37128" w:rsidRPr="00ED1190" w:rsidRDefault="00000000" w:rsidP="003F6493">
      <w:pPr>
        <w:pStyle w:val="MdListItem"/>
        <w:numPr>
          <w:ilvl w:val="1"/>
          <w:numId w:val="25"/>
        </w:numPr>
      </w:pPr>
      <w:r>
        <w:t>Adverse media screening (1,100+ global sources)</w:t>
      </w:r>
    </w:p>
    <w:p w14:paraId="71B370DE" w14:textId="463D2702" w:rsidR="00ED1190" w:rsidRPr="003F6493" w:rsidRDefault="00000000" w:rsidP="003F6493">
      <w:pPr>
        <w:pStyle w:val="MdListItem"/>
        <w:numPr>
          <w:ilvl w:val="0"/>
          <w:numId w:val="3"/>
        </w:numPr>
      </w:pPr>
      <w:r>
        <w:rPr>
          <w:rStyle w:val="MdStrong"/>
        </w:rPr>
        <w:lastRenderedPageBreak/>
        <w:t>Update Frequency</w:t>
      </w:r>
      <w:r>
        <w:t>: Daily automated rescreening via the platform. The system performs daily checks against 1,100+ global sanctions and PEP lists, including the Australian DFAT sanctions lists</w:t>
      </w:r>
    </w:p>
    <w:p w14:paraId="506EB3ED" w14:textId="27D7BC95" w:rsidR="00ED1190" w:rsidRPr="003F6493" w:rsidRDefault="00000000" w:rsidP="00ED1190">
      <w:pPr>
        <w:pStyle w:val="ds-markdown-paragraph"/>
        <w:numPr>
          <w:ilvl w:val="0"/>
          <w:numId w:val="5"/>
        </w:numPr>
        <w:shd w:val="clear" w:color="auto" w:fill="FFFFFF"/>
        <w:spacing w:before="0" w:beforeAutospacing="0" w:after="0" w:afterAutospacing="0"/>
        <w:rPr>
          <w:rStyle w:val="a9"/>
          <w:rFonts w:ascii="Segoe UI" w:hAnsi="Segoe UI" w:cs="Segoe UI"/>
          <w:b w:val="0"/>
          <w:bCs w:val="0"/>
          <w:color w:val="0F1115"/>
        </w:rPr>
      </w:pPr>
      <w:r>
        <w:rPr>
          <w:rStyle w:val="MdStrong"/>
        </w:rPr>
        <w:t>Reporting</w:t>
      </w:r>
      <w:r>
        <w:t xml:space="preserve">: </w:t>
      </w:r>
    </w:p>
    <w:p w14:paraId="4502D015" w14:textId="71ECA60F" w:rsidR="00ED1190" w:rsidRDefault="00ED1190" w:rsidP="001336C8">
      <w:pPr>
        <w:pStyle w:val="ds-markdown-paragraph"/>
        <w:numPr>
          <w:ilvl w:val="0"/>
          <w:numId w:val="18"/>
        </w:numPr>
        <w:shd w:val="clear" w:color="auto" w:fill="FFFFFF"/>
        <w:spacing w:before="0" w:beforeAutospacing="0" w:after="0" w:afterAutospacing="0"/>
        <w:rPr>
          <w:rFonts w:ascii="Segoe UI" w:hAnsi="Segoe UI" w:cs="Segoe UI"/>
          <w:color w:val="0F1115"/>
        </w:rPr>
      </w:pPr>
      <w:r>
        <w:rPr>
          <w:rStyle w:val="a9"/>
          <w:rFonts w:ascii="Segoe UI" w:hAnsi="Segoe UI" w:cs="Segoe UI"/>
          <w:color w:val="0F1115"/>
        </w:rPr>
        <w:t>Detailed Screening Results</w:t>
      </w:r>
      <w:r>
        <w:rPr>
          <w:rFonts w:ascii="Segoe UI" w:hAnsi="Segoe UI" w:cs="Segoe UI"/>
          <w:color w:val="0F1115"/>
        </w:rPr>
        <w:t>: Per-transaction and per-customer screening reports showing match status, matched lists, and match confidence levels.</w:t>
      </w:r>
    </w:p>
    <w:p w14:paraId="17F59E15" w14:textId="77777777" w:rsidR="00ED1190" w:rsidRDefault="00ED1190" w:rsidP="001336C8">
      <w:pPr>
        <w:pStyle w:val="ds-markdown-paragraph"/>
        <w:numPr>
          <w:ilvl w:val="0"/>
          <w:numId w:val="18"/>
        </w:numPr>
        <w:shd w:val="clear" w:color="auto" w:fill="FFFFFF"/>
        <w:spacing w:before="0" w:beforeAutospacing="0" w:after="0" w:afterAutospacing="0"/>
        <w:rPr>
          <w:rFonts w:ascii="Segoe UI" w:hAnsi="Segoe UI" w:cs="Segoe UI"/>
          <w:color w:val="0F1115"/>
        </w:rPr>
      </w:pPr>
      <w:r>
        <w:rPr>
          <w:rStyle w:val="a9"/>
          <w:rFonts w:ascii="Segoe UI" w:hAnsi="Segoe UI" w:cs="Segoe UI"/>
          <w:color w:val="0F1115"/>
        </w:rPr>
        <w:t>Audit Trail Reports</w:t>
      </w:r>
      <w:r>
        <w:rPr>
          <w:rFonts w:ascii="Segoe UI" w:hAnsi="Segoe UI" w:cs="Segoe UI"/>
          <w:color w:val="0F1115"/>
        </w:rPr>
        <w:t>: Full logs of all screening activities, manual review decisions, and user actions for regulatory audit purposes.</w:t>
      </w:r>
    </w:p>
    <w:p w14:paraId="44BE470C" w14:textId="77777777" w:rsidR="00ED1190" w:rsidRDefault="00ED1190" w:rsidP="001336C8">
      <w:pPr>
        <w:pStyle w:val="ds-markdown-paragraph"/>
        <w:numPr>
          <w:ilvl w:val="0"/>
          <w:numId w:val="18"/>
        </w:numPr>
        <w:shd w:val="clear" w:color="auto" w:fill="FFFFFF"/>
        <w:spacing w:before="0" w:beforeAutospacing="0" w:after="0" w:afterAutospacing="0"/>
        <w:rPr>
          <w:rFonts w:ascii="Segoe UI" w:hAnsi="Segoe UI" w:cs="Segoe UI"/>
          <w:color w:val="0F1115"/>
        </w:rPr>
      </w:pPr>
      <w:r>
        <w:rPr>
          <w:rStyle w:val="a9"/>
          <w:rFonts w:ascii="Segoe UI" w:hAnsi="Segoe UI" w:cs="Segoe UI"/>
          <w:color w:val="0F1115"/>
        </w:rPr>
        <w:t>Ongoing Monitoring Alerts</w:t>
      </w:r>
      <w:r>
        <w:rPr>
          <w:rFonts w:ascii="Segoe UI" w:hAnsi="Segoe UI" w:cs="Segoe UI"/>
          <w:color w:val="0F1115"/>
        </w:rPr>
        <w:t>: Automated notifications when a previously screened customer appears on an updated sanctions list.</w:t>
      </w:r>
    </w:p>
    <w:p w14:paraId="3A57357B" w14:textId="38A34CD4" w:rsidR="00B37128" w:rsidRPr="001336C8" w:rsidRDefault="00ED1190" w:rsidP="001336C8">
      <w:pPr>
        <w:pStyle w:val="ds-markdown-paragraph"/>
        <w:numPr>
          <w:ilvl w:val="0"/>
          <w:numId w:val="18"/>
        </w:numPr>
        <w:shd w:val="clear" w:color="auto" w:fill="FFFFFF"/>
        <w:spacing w:before="0" w:beforeAutospacing="0" w:after="0" w:afterAutospacing="0"/>
        <w:rPr>
          <w:rFonts w:ascii="Segoe UI" w:hAnsi="Segoe UI" w:cs="Segoe UI"/>
          <w:color w:val="0F1115"/>
        </w:rPr>
      </w:pPr>
      <w:r>
        <w:rPr>
          <w:rStyle w:val="a9"/>
          <w:rFonts w:ascii="Segoe UI" w:hAnsi="Segoe UI" w:cs="Segoe UI"/>
          <w:color w:val="0F1115"/>
        </w:rPr>
        <w:t>Management Dashboards</w:t>
      </w:r>
      <w:r>
        <w:rPr>
          <w:rFonts w:ascii="Segoe UI" w:hAnsi="Segoe UI" w:cs="Segoe UI"/>
          <w:color w:val="0F1115"/>
        </w:rPr>
        <w:t>: High-level overviews of screening volumes, hit rates, and false positive trends to support compliance oversight and system tuning.</w:t>
      </w:r>
    </w:p>
    <w:p w14:paraId="3CA38C25" w14:textId="77777777" w:rsidR="00ED1190" w:rsidRPr="00ED1190" w:rsidRDefault="00ED1190" w:rsidP="00ED1190">
      <w:pPr>
        <w:pStyle w:val="MdListItem"/>
      </w:pPr>
    </w:p>
    <w:p w14:paraId="55C7AB5A" w14:textId="77777777" w:rsidR="00B37128" w:rsidRDefault="00B37128">
      <w:pPr>
        <w:pStyle w:val="MdSpace"/>
        <w:spacing w:after="60"/>
      </w:pPr>
    </w:p>
    <w:p w14:paraId="68057515" w14:textId="77777777" w:rsidR="00B37128" w:rsidRDefault="00000000">
      <w:pPr>
        <w:pStyle w:val="MdParagraph"/>
      </w:pPr>
      <w:r>
        <w:rPr>
          <w:rStyle w:val="MdStrong"/>
        </w:rPr>
        <w:t>Service Agreement Terms</w:t>
      </w:r>
      <w:r>
        <w:t>:</w:t>
      </w:r>
    </w:p>
    <w:p w14:paraId="34699B38" w14:textId="77777777" w:rsidR="00B37128" w:rsidRDefault="00000000">
      <w:pPr>
        <w:pStyle w:val="MdListItem"/>
        <w:numPr>
          <w:ilvl w:val="0"/>
          <w:numId w:val="3"/>
        </w:numPr>
      </w:pPr>
      <w:r>
        <w:t>ELRC has executed a Master Service Agreement (MSA) with the screening tool provider</w:t>
      </w:r>
    </w:p>
    <w:p w14:paraId="52747F18" w14:textId="77777777" w:rsidR="00B37128" w:rsidRDefault="00000000">
      <w:pPr>
        <w:pStyle w:val="MdListItem"/>
        <w:numPr>
          <w:ilvl w:val="0"/>
          <w:numId w:val="3"/>
        </w:numPr>
      </w:pPr>
      <w:r>
        <w:t>The agreement includes appropriate service level agreements (SLAs) specifying:</w:t>
      </w:r>
    </w:p>
    <w:p w14:paraId="5A3CAE0F" w14:textId="77777777" w:rsidR="00B37128" w:rsidRDefault="00000000">
      <w:pPr>
        <w:pStyle w:val="MdListItem"/>
        <w:numPr>
          <w:ilvl w:val="1"/>
          <w:numId w:val="3"/>
        </w:numPr>
      </w:pPr>
      <w:r>
        <w:t>Screening list update frequency</w:t>
      </w:r>
    </w:p>
    <w:p w14:paraId="64EE5654" w14:textId="77777777" w:rsidR="00B37128" w:rsidRDefault="00000000">
      <w:pPr>
        <w:pStyle w:val="MdListItem"/>
        <w:numPr>
          <w:ilvl w:val="1"/>
          <w:numId w:val="3"/>
        </w:numPr>
      </w:pPr>
      <w:r>
        <w:t>Screening response time and availability</w:t>
      </w:r>
    </w:p>
    <w:p w14:paraId="2672CF66" w14:textId="77777777" w:rsidR="00B37128" w:rsidRDefault="00000000">
      <w:pPr>
        <w:pStyle w:val="MdListItem"/>
        <w:numPr>
          <w:ilvl w:val="1"/>
          <w:numId w:val="3"/>
        </w:numPr>
      </w:pPr>
      <w:r>
        <w:t>System uptime and redundancy</w:t>
      </w:r>
    </w:p>
    <w:p w14:paraId="1D8B51B3" w14:textId="77777777" w:rsidR="00B37128" w:rsidRDefault="00000000">
      <w:pPr>
        <w:pStyle w:val="MdListItem"/>
        <w:numPr>
          <w:ilvl w:val="1"/>
          <w:numId w:val="3"/>
        </w:numPr>
      </w:pPr>
      <w:r>
        <w:t>False positive management procedures</w:t>
      </w:r>
    </w:p>
    <w:p w14:paraId="04CA0B1C" w14:textId="77777777" w:rsidR="00B37128" w:rsidRDefault="00000000">
      <w:pPr>
        <w:pStyle w:val="MdListItem"/>
        <w:numPr>
          <w:ilvl w:val="1"/>
          <w:numId w:val="3"/>
        </w:numPr>
      </w:pPr>
      <w:r>
        <w:t>Technical support and escalation procedures</w:t>
      </w:r>
    </w:p>
    <w:p w14:paraId="5618E4CC" w14:textId="77777777" w:rsidR="00B37128" w:rsidRDefault="00000000">
      <w:pPr>
        <w:pStyle w:val="MdListItem"/>
        <w:numPr>
          <w:ilvl w:val="1"/>
          <w:numId w:val="3"/>
        </w:numPr>
      </w:pPr>
      <w:r>
        <w:t>Data protection and confidentiality commitments</w:t>
      </w:r>
    </w:p>
    <w:p w14:paraId="140E45B9" w14:textId="77777777" w:rsidR="00B37128" w:rsidRDefault="00000000">
      <w:pPr>
        <w:pStyle w:val="MdListItem"/>
        <w:numPr>
          <w:ilvl w:val="1"/>
          <w:numId w:val="3"/>
        </w:numPr>
      </w:pPr>
      <w:r>
        <w:t>Compliance with AML/CTF legislation</w:t>
      </w:r>
    </w:p>
    <w:p w14:paraId="029574FF" w14:textId="77777777" w:rsidR="00B37128" w:rsidRDefault="00000000">
      <w:pPr>
        <w:pStyle w:val="MdListItem"/>
        <w:numPr>
          <w:ilvl w:val="1"/>
          <w:numId w:val="3"/>
        </w:numPr>
      </w:pPr>
      <w:r>
        <w:t>Audit and compliance reporting provisions</w:t>
      </w:r>
    </w:p>
    <w:p w14:paraId="3AB60340" w14:textId="77777777" w:rsidR="00B37128" w:rsidRDefault="00B37128">
      <w:pPr>
        <w:pStyle w:val="MdSpace"/>
        <w:spacing w:after="60"/>
      </w:pPr>
    </w:p>
    <w:p w14:paraId="73A772F5" w14:textId="77777777" w:rsidR="00B37128" w:rsidRDefault="00000000">
      <w:pPr>
        <w:pStyle w:val="MdParagraph"/>
      </w:pPr>
      <w:r>
        <w:rPr>
          <w:rStyle w:val="MdStrong"/>
        </w:rPr>
        <w:t>ELRC's Responsibility</w:t>
      </w:r>
      <w:r>
        <w:t>:</w:t>
      </w:r>
      <w:r>
        <w:br/>
        <w:t>While ELRC relies on third-party screening tools for the technical screening functions, ELRC retains full responsibility for:</w:t>
      </w:r>
    </w:p>
    <w:p w14:paraId="79F2277F" w14:textId="77777777" w:rsidR="00B37128" w:rsidRDefault="00000000" w:rsidP="001336C8">
      <w:pPr>
        <w:pStyle w:val="MdListItem"/>
        <w:numPr>
          <w:ilvl w:val="0"/>
          <w:numId w:val="19"/>
        </w:numPr>
      </w:pPr>
      <w:r>
        <w:t>Selecting and evaluating screening tool providers</w:t>
      </w:r>
    </w:p>
    <w:p w14:paraId="59E23523" w14:textId="77777777" w:rsidR="00B37128" w:rsidRDefault="00000000" w:rsidP="001336C8">
      <w:pPr>
        <w:pStyle w:val="MdListItem"/>
        <w:numPr>
          <w:ilvl w:val="0"/>
          <w:numId w:val="19"/>
        </w:numPr>
      </w:pPr>
      <w:r>
        <w:t>Conducting appropriate due diligence on providers before engagement</w:t>
      </w:r>
    </w:p>
    <w:p w14:paraId="561D5F3F" w14:textId="77777777" w:rsidR="00B37128" w:rsidRDefault="00000000" w:rsidP="001336C8">
      <w:pPr>
        <w:pStyle w:val="MdListItem"/>
        <w:numPr>
          <w:ilvl w:val="0"/>
          <w:numId w:val="19"/>
        </w:numPr>
      </w:pPr>
      <w:r>
        <w:t>Ensuring the provider meets AUSTRAC expectations for reliable third parties</w:t>
      </w:r>
    </w:p>
    <w:p w14:paraId="3FDBE46E" w14:textId="77777777" w:rsidR="00B37128" w:rsidRDefault="00000000" w:rsidP="001336C8">
      <w:pPr>
        <w:pStyle w:val="MdListItem"/>
        <w:numPr>
          <w:ilvl w:val="0"/>
          <w:numId w:val="19"/>
        </w:numPr>
      </w:pPr>
      <w:r>
        <w:t>Monitoring the provider's performance and compliance</w:t>
      </w:r>
    </w:p>
    <w:p w14:paraId="71D7230E" w14:textId="77777777" w:rsidR="00B37128" w:rsidRDefault="00000000" w:rsidP="001336C8">
      <w:pPr>
        <w:pStyle w:val="MdListItem"/>
        <w:numPr>
          <w:ilvl w:val="0"/>
          <w:numId w:val="19"/>
        </w:numPr>
      </w:pPr>
      <w:r>
        <w:t>Reviewing and evaluating all screening results provided by the tool</w:t>
      </w:r>
    </w:p>
    <w:p w14:paraId="6568BAC8" w14:textId="77777777" w:rsidR="00B37128" w:rsidRDefault="00000000" w:rsidP="001336C8">
      <w:pPr>
        <w:pStyle w:val="MdListItem"/>
        <w:numPr>
          <w:ilvl w:val="0"/>
          <w:numId w:val="19"/>
        </w:numPr>
      </w:pPr>
      <w:r>
        <w:t>Making final determinations regarding customer acceptance or rejection based on screening results</w:t>
      </w:r>
    </w:p>
    <w:p w14:paraId="7DD27DAB" w14:textId="77777777" w:rsidR="00B37128" w:rsidRDefault="00000000" w:rsidP="001336C8">
      <w:pPr>
        <w:pStyle w:val="MdListItem"/>
        <w:numPr>
          <w:ilvl w:val="0"/>
          <w:numId w:val="19"/>
        </w:numPr>
      </w:pPr>
      <w:r>
        <w:t>Maintaining all screening records and providing audit trails</w:t>
      </w:r>
    </w:p>
    <w:p w14:paraId="0F2C025C" w14:textId="77777777" w:rsidR="00B37128" w:rsidRDefault="00000000" w:rsidP="001336C8">
      <w:pPr>
        <w:pStyle w:val="MdListItem"/>
        <w:numPr>
          <w:ilvl w:val="0"/>
          <w:numId w:val="19"/>
        </w:numPr>
      </w:pPr>
      <w:r>
        <w:t>Reporting to AUSTRAC regarding any suspicious matters identified</w:t>
      </w:r>
    </w:p>
    <w:p w14:paraId="266332DA" w14:textId="77777777" w:rsidR="00B37128" w:rsidRDefault="00000000" w:rsidP="001336C8">
      <w:pPr>
        <w:pStyle w:val="MdListItem"/>
        <w:numPr>
          <w:ilvl w:val="0"/>
          <w:numId w:val="19"/>
        </w:numPr>
      </w:pPr>
      <w:r>
        <w:t>Complying with all AML/CTF Act obligations regardless of screening tool results</w:t>
      </w:r>
    </w:p>
    <w:p w14:paraId="46A2AE36" w14:textId="77777777" w:rsidR="00B37128" w:rsidRDefault="00B37128">
      <w:pPr>
        <w:pStyle w:val="MdSpace"/>
        <w:spacing w:after="60"/>
      </w:pPr>
    </w:p>
    <w:p w14:paraId="6A021F5D" w14:textId="77777777" w:rsidR="00B37128" w:rsidRDefault="00000000">
      <w:pPr>
        <w:pStyle w:val="MdHeading3"/>
      </w:pPr>
      <w:r>
        <w:lastRenderedPageBreak/>
        <w:t>6.4 Screening Procedure Workflow</w:t>
      </w:r>
    </w:p>
    <w:p w14:paraId="6E7A1324" w14:textId="77777777" w:rsidR="00B37128" w:rsidRDefault="00000000">
      <w:pPr>
        <w:pStyle w:val="MdParagraph"/>
      </w:pPr>
      <w:r>
        <w:rPr>
          <w:rStyle w:val="MdStrong"/>
        </w:rPr>
        <w:t>Client Screening Process</w:t>
      </w:r>
      <w:r>
        <w:t>:</w:t>
      </w:r>
    </w:p>
    <w:p w14:paraId="5C3D3C8B" w14:textId="77777777" w:rsidR="00B37128" w:rsidRDefault="00B37128">
      <w:pPr>
        <w:pStyle w:val="MdSpace"/>
        <w:spacing w:after="60"/>
      </w:pPr>
    </w:p>
    <w:p w14:paraId="34489310" w14:textId="77777777" w:rsidR="00B37128" w:rsidRDefault="00000000">
      <w:pPr>
        <w:pStyle w:val="MdCode"/>
        <w:pBdr>
          <w:top w:val="single" w:sz="1" w:space="8" w:color="E1E4E8"/>
          <w:left w:val="single" w:sz="1" w:space="8" w:color="E1E4E8"/>
          <w:right w:val="single" w:sz="1" w:space="8" w:color="E1E4E8"/>
        </w:pBdr>
        <w:shd w:val="clear" w:color="auto" w:fill="F6F8FA"/>
        <w:spacing w:before="120" w:after="0" w:line="276" w:lineRule="auto"/>
        <w:ind w:left="360"/>
      </w:pPr>
      <w:r>
        <w:rPr>
          <w:color w:val="24292E"/>
          <w:sz w:val="20"/>
          <w:szCs w:val="20"/>
        </w:rPr>
        <w:t>1. CLIENT ONBOARDING</w:t>
      </w:r>
    </w:p>
    <w:p w14:paraId="5F3E9C3C" w14:textId="77777777" w:rsidR="00B37128"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w:t>
      </w:r>
    </w:p>
    <w:p w14:paraId="7FFC9850" w14:textId="77777777" w:rsidR="00B37128"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2. COLLECT CUSTOMER INFORMATION</w:t>
      </w:r>
    </w:p>
    <w:p w14:paraId="186C3232" w14:textId="77777777" w:rsidR="00B37128"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 Client entity details</w:t>
      </w:r>
    </w:p>
    <w:p w14:paraId="09CE68AE" w14:textId="77777777" w:rsidR="00B37128"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 Beneficial owner information</w:t>
      </w:r>
    </w:p>
    <w:p w14:paraId="4E929DBF" w14:textId="77777777" w:rsidR="00B37128"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 Authorized representative details</w:t>
      </w:r>
    </w:p>
    <w:p w14:paraId="69BA8D9D" w14:textId="77777777" w:rsidR="00B37128"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w:t>
      </w:r>
    </w:p>
    <w:p w14:paraId="34D7A916" w14:textId="77777777" w:rsidR="00B37128"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3. SUBMIT TO THIRD-PARTY SCREENING TOOL</w:t>
      </w:r>
    </w:p>
    <w:p w14:paraId="507E7DCB" w14:textId="77777777" w:rsidR="00B37128"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 Send customer names and identifying information</w:t>
      </w:r>
    </w:p>
    <w:p w14:paraId="1FACB58E" w14:textId="77777777" w:rsidR="00B37128"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 Receive automated screening results</w:t>
      </w:r>
    </w:p>
    <w:p w14:paraId="3FBDD623" w14:textId="77777777" w:rsidR="00B37128"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w:t>
      </w:r>
    </w:p>
    <w:p w14:paraId="70CCD67A" w14:textId="77777777" w:rsidR="00B37128"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4. REVIEW SCREENING RESULTS</w:t>
      </w:r>
    </w:p>
    <w:p w14:paraId="7D4CF762" w14:textId="77777777" w:rsidR="00B37128"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 Green (No Match): Proceed with onboarding</w:t>
      </w:r>
    </w:p>
    <w:p w14:paraId="0CBB6E8E" w14:textId="77777777" w:rsidR="00B37128"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 Yellow (Potential Match): Manual review by Compliance Officer</w:t>
      </w:r>
    </w:p>
    <w:p w14:paraId="0D8CEC1F" w14:textId="77777777" w:rsidR="00B37128"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 Red (Clear Match): Escalate to senior management and legal</w:t>
      </w:r>
    </w:p>
    <w:p w14:paraId="724B0D04" w14:textId="77777777" w:rsidR="00B37128"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w:t>
      </w:r>
    </w:p>
    <w:p w14:paraId="443F55A7" w14:textId="77777777" w:rsidR="00B37128"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5. MANUAL REVIEW (If Required)</w:t>
      </w:r>
    </w:p>
    <w:p w14:paraId="4CC5C39B" w14:textId="77777777" w:rsidR="00B37128"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 Compliance Officer reviews potential matches</w:t>
      </w:r>
    </w:p>
    <w:p w14:paraId="59EDE647" w14:textId="77777777" w:rsidR="00B37128"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 Cross-reference additional data points</w:t>
      </w:r>
    </w:p>
    <w:p w14:paraId="16A80AE3" w14:textId="77777777" w:rsidR="00B37128"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 Determine true match or false positive</w:t>
      </w:r>
    </w:p>
    <w:p w14:paraId="47B658D1" w14:textId="77777777" w:rsidR="00B37128"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w:t>
      </w:r>
    </w:p>
    <w:p w14:paraId="397A262A" w14:textId="77777777" w:rsidR="00B37128"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6. DECISION AND DOCUMENTATION</w:t>
      </w:r>
    </w:p>
    <w:p w14:paraId="1E16E3BD" w14:textId="77777777" w:rsidR="00B37128"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 Accept customer (if screening satisfactory)</w:t>
      </w:r>
    </w:p>
    <w:p w14:paraId="6F2B9243" w14:textId="77777777" w:rsidR="00B37128"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 Reject customer (if screening indicates risk)</w:t>
      </w:r>
    </w:p>
    <w:p w14:paraId="759714EA" w14:textId="77777777" w:rsidR="00B37128"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 Escalate to management (if uncertain)</w:t>
      </w:r>
    </w:p>
    <w:p w14:paraId="400A4986" w14:textId="77777777" w:rsidR="00B37128"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 Document all decisions and supporting evidence</w:t>
      </w:r>
    </w:p>
    <w:p w14:paraId="65B35E89" w14:textId="77777777" w:rsidR="00B37128"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w:t>
      </w:r>
    </w:p>
    <w:p w14:paraId="2D3EAB33" w14:textId="77777777" w:rsidR="00B37128"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7. ONGOING MONITORING</w:t>
      </w:r>
    </w:p>
    <w:p w14:paraId="583A9FEA" w14:textId="77777777" w:rsidR="00B37128" w:rsidRDefault="00000000">
      <w:pPr>
        <w:pStyle w:val="MdCode"/>
        <w:pBdr>
          <w:left w:val="single" w:sz="1" w:space="8" w:color="E1E4E8"/>
          <w:right w:val="single" w:sz="1" w:space="8" w:color="E1E4E8"/>
        </w:pBdr>
        <w:shd w:val="clear" w:color="auto" w:fill="F6F8FA"/>
        <w:spacing w:before="0" w:after="0" w:line="276" w:lineRule="auto"/>
        <w:ind w:left="360"/>
      </w:pPr>
      <w:r>
        <w:rPr>
          <w:color w:val="24292E"/>
          <w:sz w:val="20"/>
          <w:szCs w:val="20"/>
        </w:rPr>
        <w:t xml:space="preserve">   - Periodic re-screening of active clients</w:t>
      </w:r>
    </w:p>
    <w:p w14:paraId="5C15AC6C" w14:textId="77777777" w:rsidR="00B37128" w:rsidRDefault="00000000">
      <w:pPr>
        <w:pStyle w:val="MdCode"/>
        <w:pBdr>
          <w:left w:val="single" w:sz="1" w:space="8" w:color="E1E4E8"/>
          <w:bottom w:val="single" w:sz="1" w:space="8" w:color="E1E4E8"/>
          <w:right w:val="single" w:sz="1" w:space="8" w:color="E1E4E8"/>
        </w:pBdr>
        <w:shd w:val="clear" w:color="auto" w:fill="F6F8FA"/>
        <w:spacing w:before="0" w:after="120" w:line="276" w:lineRule="auto"/>
        <w:ind w:left="360"/>
      </w:pPr>
      <w:r>
        <w:rPr>
          <w:color w:val="24292E"/>
          <w:sz w:val="20"/>
          <w:szCs w:val="20"/>
        </w:rPr>
        <w:t xml:space="preserve">   - Transaction-based screening as needed</w:t>
      </w:r>
    </w:p>
    <w:p w14:paraId="468491F6" w14:textId="77777777" w:rsidR="00B37128" w:rsidRDefault="00B37128">
      <w:pPr>
        <w:pStyle w:val="MdSpace"/>
        <w:spacing w:after="60"/>
        <w:rPr>
          <w:lang w:val="en-AU"/>
        </w:rPr>
      </w:pPr>
    </w:p>
    <w:p w14:paraId="7186556B" w14:textId="77777777" w:rsidR="001336C8" w:rsidRDefault="001336C8">
      <w:pPr>
        <w:pStyle w:val="MdSpace"/>
        <w:spacing w:after="60"/>
        <w:rPr>
          <w:lang w:val="en-AU"/>
        </w:rPr>
      </w:pPr>
    </w:p>
    <w:p w14:paraId="7BCA4810" w14:textId="77777777" w:rsidR="001336C8" w:rsidRDefault="001336C8">
      <w:pPr>
        <w:pStyle w:val="MdSpace"/>
        <w:spacing w:after="60"/>
        <w:rPr>
          <w:lang w:val="en-AU"/>
        </w:rPr>
      </w:pPr>
    </w:p>
    <w:p w14:paraId="7970A4DF" w14:textId="77777777" w:rsidR="001336C8" w:rsidRDefault="001336C8">
      <w:pPr>
        <w:pStyle w:val="MdSpace"/>
        <w:spacing w:after="60"/>
        <w:rPr>
          <w:lang w:val="en-AU"/>
        </w:rPr>
      </w:pPr>
    </w:p>
    <w:p w14:paraId="3DF10BCC" w14:textId="77777777" w:rsidR="001336C8" w:rsidRDefault="001336C8">
      <w:pPr>
        <w:pStyle w:val="MdSpace"/>
        <w:spacing w:after="60"/>
        <w:rPr>
          <w:lang w:val="en-AU"/>
        </w:rPr>
      </w:pPr>
    </w:p>
    <w:p w14:paraId="39EEAA4B" w14:textId="77777777" w:rsidR="001336C8" w:rsidRDefault="001336C8">
      <w:pPr>
        <w:pStyle w:val="MdSpace"/>
        <w:spacing w:after="60"/>
        <w:rPr>
          <w:lang w:val="en-AU"/>
        </w:rPr>
      </w:pPr>
    </w:p>
    <w:p w14:paraId="0A2BC92C" w14:textId="77777777" w:rsidR="001336C8" w:rsidRDefault="001336C8">
      <w:pPr>
        <w:pStyle w:val="MdSpace"/>
        <w:spacing w:after="60"/>
        <w:rPr>
          <w:lang w:val="en-AU"/>
        </w:rPr>
      </w:pPr>
    </w:p>
    <w:p w14:paraId="133125C0" w14:textId="77777777" w:rsidR="001336C8" w:rsidRPr="001336C8" w:rsidRDefault="001336C8">
      <w:pPr>
        <w:pStyle w:val="MdSpace"/>
        <w:spacing w:after="60"/>
        <w:rPr>
          <w:lang w:val="en-AU"/>
        </w:rPr>
      </w:pPr>
    </w:p>
    <w:p w14:paraId="66E06554" w14:textId="77777777" w:rsidR="00B37128" w:rsidRDefault="00000000">
      <w:pPr>
        <w:pStyle w:val="MdHeading3"/>
      </w:pPr>
      <w:r>
        <w:t>6.5 Screening Frequency</w:t>
      </w:r>
    </w:p>
    <w:p w14:paraId="499C34FC" w14:textId="77777777" w:rsidR="00B37128" w:rsidRDefault="00000000">
      <w:pPr>
        <w:pStyle w:val="MdParagraph"/>
      </w:pPr>
      <w:r>
        <w:t>ELRC performs sanctions screening at the following intervals:</w:t>
      </w:r>
    </w:p>
    <w:p w14:paraId="08A98FDA" w14:textId="77777777" w:rsidR="00B37128" w:rsidRDefault="00B37128">
      <w:pPr>
        <w:pStyle w:val="MdSpace"/>
        <w:spacing w:after="60"/>
      </w:pPr>
    </w:p>
    <w:tbl>
      <w:tblPr>
        <w:tblW w:w="5000"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000" w:firstRow="0" w:lastRow="0" w:firstColumn="0" w:lastColumn="0" w:noHBand="0" w:noVBand="0"/>
      </w:tblPr>
      <w:tblGrid>
        <w:gridCol w:w="2637"/>
        <w:gridCol w:w="1669"/>
        <w:gridCol w:w="4720"/>
      </w:tblGrid>
      <w:tr w:rsidR="00B37128" w14:paraId="0AE823BE" w14:textId="77777777">
        <w:trPr>
          <w:cantSplit/>
          <w:trHeight w:val="720"/>
          <w:tblHeader/>
        </w:trPr>
        <w:tc>
          <w:tcPr>
            <w:tcW w:w="0" w:type="auto"/>
            <w:tcMar>
              <w:top w:w="100" w:type="dxa"/>
              <w:left w:w="120" w:type="dxa"/>
              <w:bottom w:w="100" w:type="dxa"/>
              <w:right w:w="120" w:type="dxa"/>
            </w:tcMar>
            <w:vAlign w:val="center"/>
          </w:tcPr>
          <w:p w14:paraId="6C004BAD" w14:textId="77777777" w:rsidR="00B37128" w:rsidRDefault="00000000">
            <w:pPr>
              <w:pStyle w:val="MdTableHeader"/>
            </w:pPr>
            <w:r>
              <w:rPr>
                <w:rStyle w:val="MdStrong"/>
                <w:b/>
                <w:bCs/>
              </w:rPr>
              <w:lastRenderedPageBreak/>
              <w:t>Screening Event</w:t>
            </w:r>
          </w:p>
        </w:tc>
        <w:tc>
          <w:tcPr>
            <w:tcW w:w="0" w:type="auto"/>
            <w:tcMar>
              <w:top w:w="100" w:type="dxa"/>
              <w:left w:w="120" w:type="dxa"/>
              <w:bottom w:w="100" w:type="dxa"/>
              <w:right w:w="120" w:type="dxa"/>
            </w:tcMar>
            <w:vAlign w:val="center"/>
          </w:tcPr>
          <w:p w14:paraId="62640F80" w14:textId="77777777" w:rsidR="00B37128" w:rsidRDefault="00000000">
            <w:pPr>
              <w:pStyle w:val="MdTableHeader"/>
            </w:pPr>
            <w:r>
              <w:rPr>
                <w:rStyle w:val="MdStrong"/>
                <w:b/>
                <w:bCs/>
              </w:rPr>
              <w:t>Frequency</w:t>
            </w:r>
          </w:p>
        </w:tc>
        <w:tc>
          <w:tcPr>
            <w:tcW w:w="0" w:type="auto"/>
            <w:tcMar>
              <w:top w:w="100" w:type="dxa"/>
              <w:left w:w="120" w:type="dxa"/>
              <w:bottom w:w="100" w:type="dxa"/>
              <w:right w:w="120" w:type="dxa"/>
            </w:tcMar>
            <w:vAlign w:val="center"/>
          </w:tcPr>
          <w:p w14:paraId="33B391AB" w14:textId="77777777" w:rsidR="00B37128" w:rsidRDefault="00000000">
            <w:pPr>
              <w:pStyle w:val="MdTableHeader"/>
            </w:pPr>
            <w:r>
              <w:rPr>
                <w:rStyle w:val="MdStrong"/>
                <w:b/>
                <w:bCs/>
              </w:rPr>
              <w:t>Details</w:t>
            </w:r>
          </w:p>
        </w:tc>
      </w:tr>
      <w:tr w:rsidR="00B37128" w14:paraId="3C44EAAB" w14:textId="77777777">
        <w:trPr>
          <w:cantSplit/>
          <w:trHeight w:val="576"/>
        </w:trPr>
        <w:tc>
          <w:tcPr>
            <w:tcW w:w="0" w:type="auto"/>
            <w:tcMar>
              <w:top w:w="80" w:type="dxa"/>
              <w:left w:w="120" w:type="dxa"/>
              <w:bottom w:w="80" w:type="dxa"/>
              <w:right w:w="120" w:type="dxa"/>
            </w:tcMar>
            <w:vAlign w:val="center"/>
          </w:tcPr>
          <w:p w14:paraId="06AFE29B" w14:textId="77777777" w:rsidR="00B37128" w:rsidRDefault="00000000">
            <w:pPr>
              <w:pStyle w:val="MdTableCell"/>
            </w:pPr>
            <w:r>
              <w:t>Initial Client Screening</w:t>
            </w:r>
          </w:p>
        </w:tc>
        <w:tc>
          <w:tcPr>
            <w:tcW w:w="0" w:type="auto"/>
            <w:tcMar>
              <w:top w:w="80" w:type="dxa"/>
              <w:left w:w="120" w:type="dxa"/>
              <w:bottom w:w="80" w:type="dxa"/>
              <w:right w:w="120" w:type="dxa"/>
            </w:tcMar>
            <w:vAlign w:val="center"/>
          </w:tcPr>
          <w:p w14:paraId="2494F8BA" w14:textId="77777777" w:rsidR="00B37128" w:rsidRDefault="00000000">
            <w:pPr>
              <w:pStyle w:val="MdTableCell"/>
            </w:pPr>
            <w:r>
              <w:t>At Onboarding</w:t>
            </w:r>
          </w:p>
        </w:tc>
        <w:tc>
          <w:tcPr>
            <w:tcW w:w="0" w:type="auto"/>
            <w:tcMar>
              <w:top w:w="80" w:type="dxa"/>
              <w:left w:w="120" w:type="dxa"/>
              <w:bottom w:w="80" w:type="dxa"/>
              <w:right w:w="120" w:type="dxa"/>
            </w:tcMar>
            <w:vAlign w:val="center"/>
          </w:tcPr>
          <w:p w14:paraId="0216B5B1" w14:textId="77777777" w:rsidR="00B37128" w:rsidRDefault="00000000">
            <w:pPr>
              <w:pStyle w:val="MdTableCell"/>
            </w:pPr>
            <w:r>
              <w:t>All new clients, beneficial owners, authorized representatives</w:t>
            </w:r>
          </w:p>
        </w:tc>
      </w:tr>
      <w:tr w:rsidR="00B37128" w14:paraId="27473844" w14:textId="77777777">
        <w:trPr>
          <w:cantSplit/>
          <w:trHeight w:val="576"/>
        </w:trPr>
        <w:tc>
          <w:tcPr>
            <w:tcW w:w="0" w:type="auto"/>
            <w:tcMar>
              <w:top w:w="80" w:type="dxa"/>
              <w:left w:w="120" w:type="dxa"/>
              <w:bottom w:w="80" w:type="dxa"/>
              <w:right w:w="120" w:type="dxa"/>
            </w:tcMar>
            <w:vAlign w:val="center"/>
          </w:tcPr>
          <w:p w14:paraId="3AEB71C6" w14:textId="77777777" w:rsidR="00B37128" w:rsidRDefault="00000000">
            <w:pPr>
              <w:pStyle w:val="MdTableCell"/>
            </w:pPr>
            <w:r>
              <w:t>Authorized Representative Addition</w:t>
            </w:r>
          </w:p>
        </w:tc>
        <w:tc>
          <w:tcPr>
            <w:tcW w:w="0" w:type="auto"/>
            <w:tcMar>
              <w:top w:w="80" w:type="dxa"/>
              <w:left w:w="120" w:type="dxa"/>
              <w:bottom w:w="80" w:type="dxa"/>
              <w:right w:w="120" w:type="dxa"/>
            </w:tcMar>
            <w:vAlign w:val="center"/>
          </w:tcPr>
          <w:p w14:paraId="757886A1" w14:textId="77777777" w:rsidR="00B37128" w:rsidRDefault="00000000">
            <w:pPr>
              <w:pStyle w:val="MdTableCell"/>
            </w:pPr>
            <w:r>
              <w:t>Each Instance</w:t>
            </w:r>
          </w:p>
        </w:tc>
        <w:tc>
          <w:tcPr>
            <w:tcW w:w="0" w:type="auto"/>
            <w:tcMar>
              <w:top w:w="80" w:type="dxa"/>
              <w:left w:w="120" w:type="dxa"/>
              <w:bottom w:w="80" w:type="dxa"/>
              <w:right w:w="120" w:type="dxa"/>
            </w:tcMar>
            <w:vAlign w:val="center"/>
          </w:tcPr>
          <w:p w14:paraId="2BD1B631" w14:textId="77777777" w:rsidR="00B37128" w:rsidRDefault="00000000">
            <w:pPr>
              <w:pStyle w:val="MdTableCell"/>
            </w:pPr>
            <w:r>
              <w:t>New authorized representatives before account access granted</w:t>
            </w:r>
          </w:p>
        </w:tc>
      </w:tr>
      <w:tr w:rsidR="00B37128" w14:paraId="7513B454" w14:textId="77777777">
        <w:trPr>
          <w:cantSplit/>
          <w:trHeight w:val="576"/>
        </w:trPr>
        <w:tc>
          <w:tcPr>
            <w:tcW w:w="0" w:type="auto"/>
            <w:tcMar>
              <w:top w:w="80" w:type="dxa"/>
              <w:left w:w="120" w:type="dxa"/>
              <w:bottom w:w="80" w:type="dxa"/>
              <w:right w:w="120" w:type="dxa"/>
            </w:tcMar>
            <w:vAlign w:val="center"/>
          </w:tcPr>
          <w:p w14:paraId="72464099" w14:textId="77777777" w:rsidR="00B37128" w:rsidRDefault="00000000">
            <w:pPr>
              <w:pStyle w:val="MdTableCell"/>
            </w:pPr>
            <w:r>
              <w:t>Beneficial Ownership Changes</w:t>
            </w:r>
          </w:p>
        </w:tc>
        <w:tc>
          <w:tcPr>
            <w:tcW w:w="0" w:type="auto"/>
            <w:tcMar>
              <w:top w:w="80" w:type="dxa"/>
              <w:left w:w="120" w:type="dxa"/>
              <w:bottom w:w="80" w:type="dxa"/>
              <w:right w:w="120" w:type="dxa"/>
            </w:tcMar>
            <w:vAlign w:val="center"/>
          </w:tcPr>
          <w:p w14:paraId="0C291AC2" w14:textId="77777777" w:rsidR="00B37128" w:rsidRDefault="00000000">
            <w:pPr>
              <w:pStyle w:val="MdTableCell"/>
            </w:pPr>
            <w:r>
              <w:t>Each Instance</w:t>
            </w:r>
          </w:p>
        </w:tc>
        <w:tc>
          <w:tcPr>
            <w:tcW w:w="0" w:type="auto"/>
            <w:tcMar>
              <w:top w:w="80" w:type="dxa"/>
              <w:left w:w="120" w:type="dxa"/>
              <w:bottom w:w="80" w:type="dxa"/>
              <w:right w:w="120" w:type="dxa"/>
            </w:tcMar>
            <w:vAlign w:val="center"/>
          </w:tcPr>
          <w:p w14:paraId="1FF42A9E" w14:textId="77777777" w:rsidR="00B37128" w:rsidRDefault="00000000">
            <w:pPr>
              <w:pStyle w:val="MdTableCell"/>
            </w:pPr>
            <w:r>
              <w:t>Updated beneficial ownership information</w:t>
            </w:r>
          </w:p>
        </w:tc>
      </w:tr>
      <w:tr w:rsidR="00B37128" w14:paraId="5E8ED670" w14:textId="77777777">
        <w:trPr>
          <w:cantSplit/>
          <w:trHeight w:val="576"/>
        </w:trPr>
        <w:tc>
          <w:tcPr>
            <w:tcW w:w="0" w:type="auto"/>
            <w:tcMar>
              <w:top w:w="80" w:type="dxa"/>
              <w:left w:w="120" w:type="dxa"/>
              <w:bottom w:w="80" w:type="dxa"/>
              <w:right w:w="120" w:type="dxa"/>
            </w:tcMar>
            <w:vAlign w:val="center"/>
          </w:tcPr>
          <w:p w14:paraId="0FF9FEEB" w14:textId="77777777" w:rsidR="00B37128" w:rsidRDefault="00000000">
            <w:pPr>
              <w:pStyle w:val="MdTableCell"/>
            </w:pPr>
            <w:r>
              <w:t>Ongoing Client Monitoring</w:t>
            </w:r>
          </w:p>
        </w:tc>
        <w:tc>
          <w:tcPr>
            <w:tcW w:w="0" w:type="auto"/>
            <w:tcMar>
              <w:top w:w="80" w:type="dxa"/>
              <w:left w:w="120" w:type="dxa"/>
              <w:bottom w:w="80" w:type="dxa"/>
              <w:right w:w="120" w:type="dxa"/>
            </w:tcMar>
            <w:vAlign w:val="center"/>
          </w:tcPr>
          <w:p w14:paraId="04B52F5A" w14:textId="77777777" w:rsidR="00B37128" w:rsidRDefault="00000000">
            <w:pPr>
              <w:pStyle w:val="MdTableCell"/>
            </w:pPr>
            <w:r>
              <w:t>Quarterly Minimum</w:t>
            </w:r>
          </w:p>
        </w:tc>
        <w:tc>
          <w:tcPr>
            <w:tcW w:w="0" w:type="auto"/>
            <w:tcMar>
              <w:top w:w="80" w:type="dxa"/>
              <w:left w:w="120" w:type="dxa"/>
              <w:bottom w:w="80" w:type="dxa"/>
              <w:right w:w="120" w:type="dxa"/>
            </w:tcMar>
            <w:vAlign w:val="center"/>
          </w:tcPr>
          <w:p w14:paraId="35E64917" w14:textId="77777777" w:rsidR="00B37128" w:rsidRDefault="00000000">
            <w:pPr>
              <w:pStyle w:val="MdTableCell"/>
            </w:pPr>
            <w:r>
              <w:t>All active clients re-screened quarterly minimum</w:t>
            </w:r>
          </w:p>
        </w:tc>
      </w:tr>
      <w:tr w:rsidR="00B37128" w14:paraId="08531A5A" w14:textId="77777777">
        <w:trPr>
          <w:cantSplit/>
          <w:trHeight w:val="576"/>
        </w:trPr>
        <w:tc>
          <w:tcPr>
            <w:tcW w:w="0" w:type="auto"/>
            <w:tcMar>
              <w:top w:w="80" w:type="dxa"/>
              <w:left w:w="120" w:type="dxa"/>
              <w:bottom w:w="80" w:type="dxa"/>
              <w:right w:w="120" w:type="dxa"/>
            </w:tcMar>
            <w:vAlign w:val="center"/>
          </w:tcPr>
          <w:p w14:paraId="28C573C9" w14:textId="77777777" w:rsidR="00B37128" w:rsidRDefault="00000000">
            <w:pPr>
              <w:pStyle w:val="MdTableCell"/>
            </w:pPr>
            <w:r>
              <w:t>Transaction-Based Screening</w:t>
            </w:r>
          </w:p>
        </w:tc>
        <w:tc>
          <w:tcPr>
            <w:tcW w:w="0" w:type="auto"/>
            <w:tcMar>
              <w:top w:w="80" w:type="dxa"/>
              <w:left w:w="120" w:type="dxa"/>
              <w:bottom w:w="80" w:type="dxa"/>
              <w:right w:w="120" w:type="dxa"/>
            </w:tcMar>
            <w:vAlign w:val="center"/>
          </w:tcPr>
          <w:p w14:paraId="39F7AB7B" w14:textId="77777777" w:rsidR="00B37128" w:rsidRDefault="00000000">
            <w:pPr>
              <w:pStyle w:val="MdTableCell"/>
            </w:pPr>
            <w:r>
              <w:t>Per Transaction</w:t>
            </w:r>
          </w:p>
        </w:tc>
        <w:tc>
          <w:tcPr>
            <w:tcW w:w="0" w:type="auto"/>
            <w:tcMar>
              <w:top w:w="80" w:type="dxa"/>
              <w:left w:w="120" w:type="dxa"/>
              <w:bottom w:w="80" w:type="dxa"/>
              <w:right w:w="120" w:type="dxa"/>
            </w:tcMar>
            <w:vAlign w:val="center"/>
          </w:tcPr>
          <w:p w14:paraId="6D7A4FC5" w14:textId="77777777" w:rsidR="00B37128" w:rsidRDefault="00000000">
            <w:pPr>
              <w:pStyle w:val="MdTableCell"/>
            </w:pPr>
            <w:r>
              <w:t>All transaction parties screened before transaction processing</w:t>
            </w:r>
          </w:p>
        </w:tc>
      </w:tr>
      <w:tr w:rsidR="00B37128" w14:paraId="217FEB53" w14:textId="77777777">
        <w:trPr>
          <w:cantSplit/>
          <w:trHeight w:val="576"/>
        </w:trPr>
        <w:tc>
          <w:tcPr>
            <w:tcW w:w="0" w:type="auto"/>
            <w:tcMar>
              <w:top w:w="80" w:type="dxa"/>
              <w:left w:w="120" w:type="dxa"/>
              <w:bottom w:w="80" w:type="dxa"/>
              <w:right w:w="120" w:type="dxa"/>
            </w:tcMar>
            <w:vAlign w:val="center"/>
          </w:tcPr>
          <w:p w14:paraId="7F70EABC" w14:textId="77777777" w:rsidR="00B37128" w:rsidRDefault="00000000">
            <w:pPr>
              <w:pStyle w:val="MdTableCell"/>
            </w:pPr>
            <w:r>
              <w:t>Unusual Activity Screening</w:t>
            </w:r>
          </w:p>
        </w:tc>
        <w:tc>
          <w:tcPr>
            <w:tcW w:w="0" w:type="auto"/>
            <w:tcMar>
              <w:top w:w="80" w:type="dxa"/>
              <w:left w:w="120" w:type="dxa"/>
              <w:bottom w:w="80" w:type="dxa"/>
              <w:right w:w="120" w:type="dxa"/>
            </w:tcMar>
            <w:vAlign w:val="center"/>
          </w:tcPr>
          <w:p w14:paraId="29EA27AF" w14:textId="77777777" w:rsidR="00B37128" w:rsidRDefault="00000000">
            <w:pPr>
              <w:pStyle w:val="MdTableCell"/>
            </w:pPr>
            <w:r>
              <w:t>Event-Based</w:t>
            </w:r>
          </w:p>
        </w:tc>
        <w:tc>
          <w:tcPr>
            <w:tcW w:w="0" w:type="auto"/>
            <w:tcMar>
              <w:top w:w="80" w:type="dxa"/>
              <w:left w:w="120" w:type="dxa"/>
              <w:bottom w:w="80" w:type="dxa"/>
              <w:right w:w="120" w:type="dxa"/>
            </w:tcMar>
            <w:vAlign w:val="center"/>
          </w:tcPr>
          <w:p w14:paraId="170121F1" w14:textId="77777777" w:rsidR="00B37128" w:rsidRDefault="00000000">
            <w:pPr>
              <w:pStyle w:val="MdTableCell"/>
            </w:pPr>
            <w:r>
              <w:t>Clients identified through transaction monitoring as potentially suspicious</w:t>
            </w:r>
          </w:p>
        </w:tc>
      </w:tr>
      <w:tr w:rsidR="00B37128" w14:paraId="719944B0" w14:textId="77777777">
        <w:trPr>
          <w:cantSplit/>
          <w:trHeight w:val="576"/>
        </w:trPr>
        <w:tc>
          <w:tcPr>
            <w:tcW w:w="0" w:type="auto"/>
            <w:tcBorders>
              <w:bottom w:val="single" w:sz="4" w:space="0" w:color="E1E4E8"/>
            </w:tcBorders>
            <w:tcMar>
              <w:top w:w="80" w:type="dxa"/>
              <w:left w:w="120" w:type="dxa"/>
              <w:bottom w:w="80" w:type="dxa"/>
              <w:right w:w="120" w:type="dxa"/>
            </w:tcMar>
            <w:vAlign w:val="center"/>
          </w:tcPr>
          <w:p w14:paraId="4373A1A6" w14:textId="77777777" w:rsidR="00B37128" w:rsidRDefault="00000000">
            <w:pPr>
              <w:pStyle w:val="MdTableCell"/>
            </w:pPr>
            <w:r>
              <w:t>Annual Comprehensive Review</w:t>
            </w:r>
          </w:p>
        </w:tc>
        <w:tc>
          <w:tcPr>
            <w:tcW w:w="0" w:type="auto"/>
            <w:tcBorders>
              <w:bottom w:val="single" w:sz="4" w:space="0" w:color="E1E4E8"/>
            </w:tcBorders>
            <w:tcMar>
              <w:top w:w="80" w:type="dxa"/>
              <w:left w:w="120" w:type="dxa"/>
              <w:bottom w:w="80" w:type="dxa"/>
              <w:right w:w="120" w:type="dxa"/>
            </w:tcMar>
            <w:vAlign w:val="center"/>
          </w:tcPr>
          <w:p w14:paraId="460D369F" w14:textId="77777777" w:rsidR="00B37128" w:rsidRDefault="00000000">
            <w:pPr>
              <w:pStyle w:val="MdTableCell"/>
            </w:pPr>
            <w:r>
              <w:t>Annually</w:t>
            </w:r>
          </w:p>
        </w:tc>
        <w:tc>
          <w:tcPr>
            <w:tcW w:w="0" w:type="auto"/>
            <w:tcBorders>
              <w:bottom w:val="single" w:sz="4" w:space="0" w:color="E1E4E8"/>
            </w:tcBorders>
            <w:tcMar>
              <w:top w:w="80" w:type="dxa"/>
              <w:left w:w="120" w:type="dxa"/>
              <w:bottom w:w="80" w:type="dxa"/>
              <w:right w:w="120" w:type="dxa"/>
            </w:tcMar>
            <w:vAlign w:val="center"/>
          </w:tcPr>
          <w:p w14:paraId="03F53906" w14:textId="77777777" w:rsidR="00B37128" w:rsidRDefault="00000000">
            <w:pPr>
              <w:pStyle w:val="MdTableCell"/>
            </w:pPr>
            <w:r>
              <w:t>Full review of all active client screening status</w:t>
            </w:r>
          </w:p>
        </w:tc>
      </w:tr>
    </w:tbl>
    <w:p w14:paraId="1FED05E8" w14:textId="77777777" w:rsidR="00B37128" w:rsidRDefault="00000000">
      <w:pPr>
        <w:pStyle w:val="MdHeading3"/>
      </w:pPr>
      <w:r>
        <w:t>6.6 Vendor Due Diligence</w:t>
      </w:r>
    </w:p>
    <w:p w14:paraId="63085365" w14:textId="77777777" w:rsidR="00B37128" w:rsidRDefault="00000000">
      <w:pPr>
        <w:pStyle w:val="MdParagraph"/>
      </w:pPr>
      <w:r>
        <w:t>ELRC conducts appropriate due diligence on its third-party screening tool provider by verifying:</w:t>
      </w:r>
    </w:p>
    <w:p w14:paraId="517439C9" w14:textId="77777777" w:rsidR="00B37128" w:rsidRDefault="00B37128">
      <w:pPr>
        <w:pStyle w:val="MdSpace"/>
        <w:spacing w:after="60"/>
      </w:pPr>
    </w:p>
    <w:p w14:paraId="72D9A3AA" w14:textId="77777777" w:rsidR="00B37128" w:rsidRDefault="00000000" w:rsidP="001336C8">
      <w:pPr>
        <w:pStyle w:val="MdListItem"/>
        <w:numPr>
          <w:ilvl w:val="0"/>
          <w:numId w:val="20"/>
        </w:numPr>
      </w:pPr>
      <w:r>
        <w:rPr>
          <w:rStyle w:val="MdStrong"/>
        </w:rPr>
        <w:t>Regulatory Status</w:t>
      </w:r>
      <w:r>
        <w:t>: Confirmation that the vendor is a recognized, established compliance tool provider</w:t>
      </w:r>
    </w:p>
    <w:p w14:paraId="2268B42F" w14:textId="77777777" w:rsidR="00B37128" w:rsidRDefault="00000000" w:rsidP="001336C8">
      <w:pPr>
        <w:pStyle w:val="MdListItem"/>
        <w:numPr>
          <w:ilvl w:val="0"/>
          <w:numId w:val="20"/>
        </w:numPr>
      </w:pPr>
      <w:r>
        <w:rPr>
          <w:rStyle w:val="MdStrong"/>
        </w:rPr>
        <w:t>Compliance Certifications</w:t>
      </w:r>
      <w:r>
        <w:t>: Verification of relevant compliance certifications and industry recognitions</w:t>
      </w:r>
    </w:p>
    <w:p w14:paraId="25D5397B" w14:textId="77777777" w:rsidR="00B37128" w:rsidRDefault="00000000" w:rsidP="001336C8">
      <w:pPr>
        <w:pStyle w:val="MdListItem"/>
        <w:numPr>
          <w:ilvl w:val="0"/>
          <w:numId w:val="20"/>
        </w:numPr>
      </w:pPr>
      <w:r>
        <w:rPr>
          <w:rStyle w:val="MdStrong"/>
        </w:rPr>
        <w:t>Data Quality</w:t>
      </w:r>
      <w:r>
        <w:t>: Assessment of the quality and comprehensiveness of screening lists maintained by the vendor</w:t>
      </w:r>
    </w:p>
    <w:p w14:paraId="000AE553" w14:textId="2D723606" w:rsidR="00B37128" w:rsidRDefault="00000000" w:rsidP="001336C8">
      <w:pPr>
        <w:pStyle w:val="MdListItem"/>
        <w:numPr>
          <w:ilvl w:val="0"/>
          <w:numId w:val="20"/>
        </w:numPr>
      </w:pPr>
      <w:r>
        <w:rPr>
          <w:rStyle w:val="MdStrong"/>
        </w:rPr>
        <w:t>System Capabilities</w:t>
      </w:r>
      <w:r>
        <w:t>: Verification that the tool covers Australian sanctions lists</w:t>
      </w:r>
    </w:p>
    <w:p w14:paraId="3D0C5920" w14:textId="77777777" w:rsidR="00B37128" w:rsidRDefault="00000000" w:rsidP="001336C8">
      <w:pPr>
        <w:pStyle w:val="MdListItem"/>
        <w:numPr>
          <w:ilvl w:val="0"/>
          <w:numId w:val="20"/>
        </w:numPr>
      </w:pPr>
      <w:r>
        <w:rPr>
          <w:rStyle w:val="MdStrong"/>
        </w:rPr>
        <w:t>Update Procedures</w:t>
      </w:r>
      <w:r>
        <w:t>: Confirmation that the vendor maintains real-time or near-real-time list updates</w:t>
      </w:r>
    </w:p>
    <w:p w14:paraId="1DC3EE68" w14:textId="77777777" w:rsidR="00B37128" w:rsidRDefault="00000000" w:rsidP="001336C8">
      <w:pPr>
        <w:pStyle w:val="MdListItem"/>
        <w:numPr>
          <w:ilvl w:val="0"/>
          <w:numId w:val="20"/>
        </w:numPr>
      </w:pPr>
      <w:r>
        <w:rPr>
          <w:rStyle w:val="MdStrong"/>
        </w:rPr>
        <w:t>False Positive Management</w:t>
      </w:r>
      <w:r>
        <w:t>: Verification of the vendor's false positive management and dispute resolution procedures</w:t>
      </w:r>
    </w:p>
    <w:p w14:paraId="009DBB5D" w14:textId="77777777" w:rsidR="00B37128" w:rsidRDefault="00000000" w:rsidP="001336C8">
      <w:pPr>
        <w:pStyle w:val="MdListItem"/>
        <w:numPr>
          <w:ilvl w:val="0"/>
          <w:numId w:val="20"/>
        </w:numPr>
      </w:pPr>
      <w:r>
        <w:rPr>
          <w:rStyle w:val="MdStrong"/>
        </w:rPr>
        <w:t>Data Protection</w:t>
      </w:r>
      <w:r>
        <w:t>: Assessment of the vendor's data protection and confidentiality measures</w:t>
      </w:r>
    </w:p>
    <w:p w14:paraId="3E299F60" w14:textId="77777777" w:rsidR="00B37128" w:rsidRDefault="00000000" w:rsidP="001336C8">
      <w:pPr>
        <w:pStyle w:val="MdListItem"/>
        <w:numPr>
          <w:ilvl w:val="0"/>
          <w:numId w:val="20"/>
        </w:numPr>
      </w:pPr>
      <w:r>
        <w:rPr>
          <w:rStyle w:val="MdStrong"/>
        </w:rPr>
        <w:t>Audit Trail</w:t>
      </w:r>
      <w:r>
        <w:t>: Verification that the tool provides comprehensive audit trails and reporting</w:t>
      </w:r>
    </w:p>
    <w:p w14:paraId="5DD3EF61" w14:textId="77777777" w:rsidR="00B37128" w:rsidRDefault="00000000" w:rsidP="001336C8">
      <w:pPr>
        <w:pStyle w:val="MdListItem"/>
        <w:numPr>
          <w:ilvl w:val="0"/>
          <w:numId w:val="20"/>
        </w:numPr>
      </w:pPr>
      <w:r>
        <w:rPr>
          <w:rStyle w:val="MdStrong"/>
        </w:rPr>
        <w:t>Financial Stability</w:t>
      </w:r>
      <w:r>
        <w:t>: Assessment of the vendor's financial stability and business continuity</w:t>
      </w:r>
    </w:p>
    <w:p w14:paraId="269348D0" w14:textId="77777777" w:rsidR="00B37128" w:rsidRDefault="00000000" w:rsidP="001336C8">
      <w:pPr>
        <w:pStyle w:val="MdListItem"/>
        <w:numPr>
          <w:ilvl w:val="0"/>
          <w:numId w:val="20"/>
        </w:numPr>
      </w:pPr>
      <w:r>
        <w:rPr>
          <w:rStyle w:val="MdStrong"/>
        </w:rPr>
        <w:t>Support and Maintenance</w:t>
      </w:r>
      <w:r>
        <w:t>: Confirmation of appropriate technical support and system maintenance</w:t>
      </w:r>
    </w:p>
    <w:p w14:paraId="7B5D0E9A" w14:textId="77777777" w:rsidR="00B37128" w:rsidRDefault="00B37128">
      <w:pPr>
        <w:pStyle w:val="MdSpace"/>
        <w:spacing w:after="60"/>
      </w:pPr>
    </w:p>
    <w:p w14:paraId="3C062F3E" w14:textId="77777777" w:rsidR="00B37128" w:rsidRDefault="00000000">
      <w:pPr>
        <w:pStyle w:val="MdHeading3"/>
      </w:pPr>
      <w:r>
        <w:lastRenderedPageBreak/>
        <w:t>6.7 Benefits of Third-Party Tool Approach</w:t>
      </w:r>
    </w:p>
    <w:p w14:paraId="544F3CC2" w14:textId="77777777" w:rsidR="00B37128" w:rsidRDefault="00000000">
      <w:pPr>
        <w:pStyle w:val="MdParagraph"/>
      </w:pPr>
      <w:r>
        <w:t>ELRC's use of third-party screening tools provides the following benefits:</w:t>
      </w:r>
    </w:p>
    <w:p w14:paraId="7EDAB324" w14:textId="77777777" w:rsidR="00B37128" w:rsidRDefault="00B37128">
      <w:pPr>
        <w:pStyle w:val="MdSpace"/>
        <w:spacing w:after="60"/>
      </w:pPr>
    </w:p>
    <w:p w14:paraId="27177606" w14:textId="77777777" w:rsidR="00B37128" w:rsidRDefault="00000000">
      <w:pPr>
        <w:pStyle w:val="MdParagraph"/>
      </w:pPr>
      <w:r>
        <w:rPr>
          <w:rStyle w:val="MdStrong"/>
        </w:rPr>
        <w:t>Regulatory and Compliance Benefits</w:t>
      </w:r>
      <w:r>
        <w:t>:</w:t>
      </w:r>
    </w:p>
    <w:p w14:paraId="4A178717" w14:textId="32B56D85" w:rsidR="00B37128" w:rsidRDefault="00000000">
      <w:pPr>
        <w:pStyle w:val="MdListItem"/>
        <w:numPr>
          <w:ilvl w:val="0"/>
          <w:numId w:val="3"/>
        </w:numPr>
      </w:pPr>
      <w:r>
        <w:t>✓ Ensures continuous compliance with Australian sanctions requirements (DFAT Lists)</w:t>
      </w:r>
    </w:p>
    <w:p w14:paraId="03A65F11" w14:textId="77777777" w:rsidR="00B37128" w:rsidRDefault="00000000">
      <w:pPr>
        <w:pStyle w:val="MdListItem"/>
        <w:numPr>
          <w:ilvl w:val="0"/>
          <w:numId w:val="3"/>
        </w:numPr>
      </w:pPr>
      <w:r>
        <w:t>✓ Provides automated, objective screening based on comprehensive databases</w:t>
      </w:r>
    </w:p>
    <w:p w14:paraId="2099BD42" w14:textId="77777777" w:rsidR="00B37128" w:rsidRDefault="00000000">
      <w:pPr>
        <w:pStyle w:val="MdListItem"/>
        <w:numPr>
          <w:ilvl w:val="0"/>
          <w:numId w:val="3"/>
        </w:numPr>
      </w:pPr>
      <w:r>
        <w:t>✓ Maintains audit trails and documentation for regulatory review</w:t>
      </w:r>
    </w:p>
    <w:p w14:paraId="44FE5BA7" w14:textId="77777777" w:rsidR="00B37128" w:rsidRDefault="00000000">
      <w:pPr>
        <w:pStyle w:val="MdListItem"/>
        <w:numPr>
          <w:ilvl w:val="0"/>
          <w:numId w:val="3"/>
        </w:numPr>
      </w:pPr>
      <w:r>
        <w:t>✓ Aligns with AUSTRAC guidance on reliable third parties</w:t>
      </w:r>
    </w:p>
    <w:p w14:paraId="6D0EE4DD" w14:textId="77777777" w:rsidR="00B37128" w:rsidRDefault="00B37128">
      <w:pPr>
        <w:pStyle w:val="MdSpace"/>
        <w:spacing w:after="60"/>
      </w:pPr>
    </w:p>
    <w:p w14:paraId="6F6EF243" w14:textId="77777777" w:rsidR="00B37128" w:rsidRDefault="00000000">
      <w:pPr>
        <w:pStyle w:val="MdParagraph"/>
      </w:pPr>
      <w:r>
        <w:rPr>
          <w:rStyle w:val="MdStrong"/>
        </w:rPr>
        <w:t>Operational Benefits</w:t>
      </w:r>
      <w:r>
        <w:t>:</w:t>
      </w:r>
    </w:p>
    <w:p w14:paraId="0E50D779" w14:textId="77777777" w:rsidR="00B37128" w:rsidRDefault="00000000">
      <w:pPr>
        <w:pStyle w:val="MdListItem"/>
        <w:numPr>
          <w:ilvl w:val="0"/>
          <w:numId w:val="3"/>
        </w:numPr>
      </w:pPr>
      <w:r>
        <w:t>✓ Reduces manual screening workload and associated costs</w:t>
      </w:r>
    </w:p>
    <w:p w14:paraId="4E66FC6C" w14:textId="77777777" w:rsidR="00B37128" w:rsidRDefault="00000000">
      <w:pPr>
        <w:pStyle w:val="MdListItem"/>
        <w:numPr>
          <w:ilvl w:val="0"/>
          <w:numId w:val="3"/>
        </w:numPr>
      </w:pPr>
      <w:r>
        <w:t>✓ Minimizes false positives through advanced matching algorithms</w:t>
      </w:r>
    </w:p>
    <w:p w14:paraId="5FEE8F4D" w14:textId="77777777" w:rsidR="00B37128" w:rsidRDefault="00000000">
      <w:pPr>
        <w:pStyle w:val="MdListItem"/>
        <w:numPr>
          <w:ilvl w:val="0"/>
          <w:numId w:val="3"/>
        </w:numPr>
      </w:pPr>
      <w:r>
        <w:t>✓ Provides real-time or near-real-time list updates without manual effort</w:t>
      </w:r>
    </w:p>
    <w:p w14:paraId="5DFC7588" w14:textId="77777777" w:rsidR="00B37128" w:rsidRDefault="00000000">
      <w:pPr>
        <w:pStyle w:val="MdListItem"/>
        <w:numPr>
          <w:ilvl w:val="0"/>
          <w:numId w:val="3"/>
        </w:numPr>
      </w:pPr>
      <w:r>
        <w:t>✓ Enables scalability for future business growth and expansion</w:t>
      </w:r>
    </w:p>
    <w:p w14:paraId="3935C636" w14:textId="77777777" w:rsidR="00B37128" w:rsidRDefault="00B37128">
      <w:pPr>
        <w:pStyle w:val="MdSpace"/>
        <w:spacing w:after="60"/>
      </w:pPr>
    </w:p>
    <w:p w14:paraId="5F01DD5B" w14:textId="77777777" w:rsidR="00B37128" w:rsidRDefault="00000000">
      <w:pPr>
        <w:pStyle w:val="MdParagraph"/>
      </w:pPr>
      <w:r>
        <w:rPr>
          <w:rStyle w:val="MdStrong"/>
        </w:rPr>
        <w:t>Risk Management Benefits</w:t>
      </w:r>
      <w:r>
        <w:t>:</w:t>
      </w:r>
    </w:p>
    <w:p w14:paraId="6595E0CB" w14:textId="77777777" w:rsidR="00B37128" w:rsidRDefault="00000000">
      <w:pPr>
        <w:pStyle w:val="MdListItem"/>
        <w:numPr>
          <w:ilvl w:val="0"/>
          <w:numId w:val="3"/>
        </w:numPr>
      </w:pPr>
      <w:r>
        <w:t>✓ Reduces compliance risk through professional, expert screening</w:t>
      </w:r>
    </w:p>
    <w:p w14:paraId="41DDCBCC" w14:textId="77777777" w:rsidR="00B37128" w:rsidRDefault="00000000">
      <w:pPr>
        <w:pStyle w:val="MdListItem"/>
        <w:numPr>
          <w:ilvl w:val="0"/>
          <w:numId w:val="3"/>
        </w:numPr>
      </w:pPr>
      <w:r>
        <w:t>✓ Decreases false negative risk through comprehensive databases</w:t>
      </w:r>
    </w:p>
    <w:p w14:paraId="74E03B34" w14:textId="77777777" w:rsidR="00B37128" w:rsidRDefault="00000000">
      <w:pPr>
        <w:pStyle w:val="MdListItem"/>
        <w:numPr>
          <w:ilvl w:val="0"/>
          <w:numId w:val="3"/>
        </w:numPr>
      </w:pPr>
      <w:r>
        <w:t>✓ Improves sanctions compliance consistency</w:t>
      </w:r>
    </w:p>
    <w:p w14:paraId="594C41E2" w14:textId="77777777" w:rsidR="00B37128" w:rsidRDefault="00000000">
      <w:pPr>
        <w:pStyle w:val="MdListItem"/>
        <w:numPr>
          <w:ilvl w:val="0"/>
          <w:numId w:val="3"/>
        </w:numPr>
      </w:pPr>
      <w:r>
        <w:t>✓ Reduces operational risk through automated controls</w:t>
      </w:r>
    </w:p>
    <w:p w14:paraId="5D886F04" w14:textId="77777777" w:rsidR="00B37128" w:rsidRDefault="00B37128">
      <w:pPr>
        <w:pStyle w:val="MdSpace"/>
        <w:spacing w:after="60"/>
      </w:pPr>
    </w:p>
    <w:p w14:paraId="5617C637" w14:textId="77777777" w:rsidR="00B37128" w:rsidRDefault="00B37128">
      <w:pPr>
        <w:pStyle w:val="MdHr"/>
        <w:pBdr>
          <w:bottom w:val="single" w:sz="6" w:space="1" w:color="auto"/>
        </w:pBdr>
      </w:pPr>
    </w:p>
    <w:p w14:paraId="691C1D0C" w14:textId="77777777" w:rsidR="00B37128" w:rsidRDefault="00B37128">
      <w:pPr>
        <w:pStyle w:val="MdSpace"/>
        <w:spacing w:after="60"/>
      </w:pPr>
    </w:p>
    <w:p w14:paraId="769332DE" w14:textId="77777777" w:rsidR="00B37128" w:rsidRDefault="00000000">
      <w:pPr>
        <w:pStyle w:val="MdHeading2"/>
      </w:pPr>
      <w:r>
        <w:t>7. Transaction Monitoring and Reporting</w:t>
      </w:r>
    </w:p>
    <w:p w14:paraId="081362DE" w14:textId="77777777" w:rsidR="00B37128" w:rsidRDefault="00000000">
      <w:pPr>
        <w:pStyle w:val="MdHeading3"/>
      </w:pPr>
      <w:r>
        <w:t>7.1 Suspicious Activity Identification</w:t>
      </w:r>
    </w:p>
    <w:p w14:paraId="6AC487A2" w14:textId="77777777" w:rsidR="00B37128" w:rsidRDefault="00000000">
      <w:pPr>
        <w:pStyle w:val="MdParagraph"/>
      </w:pPr>
      <w:r>
        <w:t>ELRC employs a combination of screening procedures and manual review to identify potentially suspicious transactions that may indicate money laundering or terrorism financing. Suspicious activity indicators include:</w:t>
      </w:r>
    </w:p>
    <w:p w14:paraId="10943968" w14:textId="77777777" w:rsidR="00B37128" w:rsidRDefault="00B37128">
      <w:pPr>
        <w:pStyle w:val="MdSpace"/>
        <w:spacing w:after="60"/>
      </w:pPr>
    </w:p>
    <w:p w14:paraId="216AFF4F" w14:textId="77777777" w:rsidR="00B37128" w:rsidRDefault="00000000" w:rsidP="003F6493">
      <w:pPr>
        <w:pStyle w:val="MdHeading4"/>
        <w:numPr>
          <w:ilvl w:val="0"/>
          <w:numId w:val="26"/>
        </w:numPr>
      </w:pPr>
      <w:r>
        <w:t>Transaction Pattern Indicators:</w:t>
      </w:r>
    </w:p>
    <w:p w14:paraId="20D139D7" w14:textId="77777777" w:rsidR="00B37128" w:rsidRDefault="00000000">
      <w:pPr>
        <w:pStyle w:val="MdListItem"/>
        <w:numPr>
          <w:ilvl w:val="0"/>
          <w:numId w:val="3"/>
        </w:numPr>
      </w:pPr>
      <w:r>
        <w:t>Rapid or frequent transactions without apparent business purpose</w:t>
      </w:r>
    </w:p>
    <w:p w14:paraId="15A4B32B" w14:textId="77777777" w:rsidR="00B37128" w:rsidRDefault="00000000">
      <w:pPr>
        <w:pStyle w:val="MdListItem"/>
        <w:numPr>
          <w:ilvl w:val="0"/>
          <w:numId w:val="3"/>
        </w:numPr>
      </w:pPr>
      <w:r>
        <w:t>Transactions inconsistent with client's stated business activities</w:t>
      </w:r>
    </w:p>
    <w:p w14:paraId="6A7A25BA" w14:textId="77777777" w:rsidR="00B37128" w:rsidRDefault="00000000">
      <w:pPr>
        <w:pStyle w:val="MdListItem"/>
        <w:numPr>
          <w:ilvl w:val="0"/>
          <w:numId w:val="3"/>
        </w:numPr>
      </w:pPr>
      <w:r>
        <w:t>Transactions involving multiple jurisdictions without clear commercial rationale</w:t>
      </w:r>
    </w:p>
    <w:p w14:paraId="6B0637BF" w14:textId="77777777" w:rsidR="00B37128" w:rsidRDefault="00000000">
      <w:pPr>
        <w:pStyle w:val="MdListItem"/>
        <w:numPr>
          <w:ilvl w:val="0"/>
          <w:numId w:val="3"/>
        </w:numPr>
      </w:pPr>
      <w:r>
        <w:t>Round-dollar transactions suggesting structuring</w:t>
      </w:r>
    </w:p>
    <w:p w14:paraId="689578CB" w14:textId="77777777" w:rsidR="00B37128" w:rsidRDefault="00000000">
      <w:pPr>
        <w:pStyle w:val="MdListItem"/>
        <w:numPr>
          <w:ilvl w:val="0"/>
          <w:numId w:val="3"/>
        </w:numPr>
      </w:pPr>
      <w:r>
        <w:t>Transactions at unusual hours or frequencies</w:t>
      </w:r>
    </w:p>
    <w:p w14:paraId="4947FEDA" w14:textId="77777777" w:rsidR="00B37128" w:rsidRDefault="00000000">
      <w:pPr>
        <w:pStyle w:val="MdListItem"/>
        <w:numPr>
          <w:ilvl w:val="0"/>
          <w:numId w:val="3"/>
        </w:numPr>
      </w:pPr>
      <w:r>
        <w:lastRenderedPageBreak/>
        <w:t>Transactions significantly exceeding client's normal transaction profile</w:t>
      </w:r>
    </w:p>
    <w:p w14:paraId="6A08DBBE" w14:textId="77777777" w:rsidR="00B37128" w:rsidRDefault="00000000">
      <w:pPr>
        <w:pStyle w:val="MdListItem"/>
        <w:numPr>
          <w:ilvl w:val="0"/>
          <w:numId w:val="3"/>
        </w:numPr>
      </w:pPr>
      <w:r>
        <w:t>Transactions inconsistent with client's industry profile</w:t>
      </w:r>
    </w:p>
    <w:p w14:paraId="70E2ED19" w14:textId="77777777" w:rsidR="00B37128" w:rsidRDefault="00B37128">
      <w:pPr>
        <w:pStyle w:val="MdSpace"/>
        <w:spacing w:after="60"/>
      </w:pPr>
    </w:p>
    <w:p w14:paraId="4CAED98F" w14:textId="77777777" w:rsidR="00B37128" w:rsidRDefault="00000000" w:rsidP="003F6493">
      <w:pPr>
        <w:pStyle w:val="MdHeading4"/>
        <w:numPr>
          <w:ilvl w:val="0"/>
          <w:numId w:val="26"/>
        </w:numPr>
      </w:pPr>
      <w:r>
        <w:t>Counterparty Risk Indicators:</w:t>
      </w:r>
    </w:p>
    <w:p w14:paraId="6ADD17FE" w14:textId="77777777" w:rsidR="00B37128" w:rsidRDefault="00000000">
      <w:pPr>
        <w:pStyle w:val="MdListItem"/>
        <w:numPr>
          <w:ilvl w:val="0"/>
          <w:numId w:val="3"/>
        </w:numPr>
      </w:pPr>
      <w:r>
        <w:t>Transactions involving high-risk jurisdictions</w:t>
      </w:r>
    </w:p>
    <w:p w14:paraId="3EEE4B55" w14:textId="77777777" w:rsidR="00B37128" w:rsidRDefault="00000000">
      <w:pPr>
        <w:pStyle w:val="MdListItem"/>
        <w:numPr>
          <w:ilvl w:val="0"/>
          <w:numId w:val="3"/>
        </w:numPr>
      </w:pPr>
      <w:r>
        <w:t>Transactions with counterparties in jurisdictions known for financial crime</w:t>
      </w:r>
    </w:p>
    <w:p w14:paraId="56CCD079" w14:textId="77777777" w:rsidR="00B37128" w:rsidRDefault="00000000">
      <w:pPr>
        <w:pStyle w:val="MdListItem"/>
        <w:numPr>
          <w:ilvl w:val="0"/>
          <w:numId w:val="3"/>
        </w:numPr>
      </w:pPr>
      <w:r>
        <w:t>Transactions involving counterparties in non-cooperative or grey-listed jurisdictions</w:t>
      </w:r>
    </w:p>
    <w:p w14:paraId="0A668E92" w14:textId="77777777" w:rsidR="00B37128" w:rsidRDefault="00000000">
      <w:pPr>
        <w:pStyle w:val="MdListItem"/>
        <w:numPr>
          <w:ilvl w:val="0"/>
          <w:numId w:val="3"/>
        </w:numPr>
      </w:pPr>
      <w:r>
        <w:t>Transactions with unknown or informal business entities</w:t>
      </w:r>
    </w:p>
    <w:p w14:paraId="1B783E00" w14:textId="77777777" w:rsidR="00B37128" w:rsidRDefault="00000000">
      <w:pPr>
        <w:pStyle w:val="MdListItem"/>
        <w:numPr>
          <w:ilvl w:val="0"/>
          <w:numId w:val="3"/>
        </w:numPr>
      </w:pPr>
      <w:r>
        <w:t>Transactions involving PEPs or PEP-connected entities</w:t>
      </w:r>
    </w:p>
    <w:p w14:paraId="6EEF39FF" w14:textId="77777777" w:rsidR="00B37128" w:rsidRDefault="00000000">
      <w:pPr>
        <w:pStyle w:val="MdListItem"/>
        <w:numPr>
          <w:ilvl w:val="0"/>
          <w:numId w:val="3"/>
        </w:numPr>
      </w:pPr>
      <w:r>
        <w:t>Transactions with parties appearing on sanctions lists</w:t>
      </w:r>
    </w:p>
    <w:p w14:paraId="6A90EE16" w14:textId="77777777" w:rsidR="00B37128" w:rsidRDefault="00B37128">
      <w:pPr>
        <w:pStyle w:val="MdSpace"/>
        <w:spacing w:after="60"/>
      </w:pPr>
    </w:p>
    <w:p w14:paraId="550AA4F9" w14:textId="77777777" w:rsidR="00B37128" w:rsidRDefault="00000000" w:rsidP="003F6493">
      <w:pPr>
        <w:pStyle w:val="MdHeading4"/>
        <w:numPr>
          <w:ilvl w:val="0"/>
          <w:numId w:val="26"/>
        </w:numPr>
      </w:pPr>
      <w:r>
        <w:t>Client Behavior Indicators:</w:t>
      </w:r>
    </w:p>
    <w:p w14:paraId="1467BC47" w14:textId="77777777" w:rsidR="00B37128" w:rsidRDefault="00000000">
      <w:pPr>
        <w:pStyle w:val="MdListItem"/>
        <w:numPr>
          <w:ilvl w:val="0"/>
          <w:numId w:val="3"/>
        </w:numPr>
      </w:pPr>
      <w:r>
        <w:t>Changes in beneficial ownership or control without notification</w:t>
      </w:r>
    </w:p>
    <w:p w14:paraId="6AAE9EC5" w14:textId="77777777" w:rsidR="00B37128" w:rsidRDefault="00000000">
      <w:pPr>
        <w:pStyle w:val="MdListItem"/>
        <w:numPr>
          <w:ilvl w:val="0"/>
          <w:numId w:val="3"/>
        </w:numPr>
      </w:pPr>
      <w:r>
        <w:t>Changes in transaction patterns or volumes</w:t>
      </w:r>
    </w:p>
    <w:p w14:paraId="480DE77F" w14:textId="77777777" w:rsidR="00B37128" w:rsidRDefault="00000000">
      <w:pPr>
        <w:pStyle w:val="MdListItem"/>
        <w:numPr>
          <w:ilvl w:val="0"/>
          <w:numId w:val="3"/>
        </w:numPr>
      </w:pPr>
      <w:r>
        <w:t>Requests to bypass normal procedures or controls</w:t>
      </w:r>
    </w:p>
    <w:p w14:paraId="5876DD9C" w14:textId="77777777" w:rsidR="00B37128" w:rsidRDefault="00000000">
      <w:pPr>
        <w:pStyle w:val="MdListItem"/>
        <w:numPr>
          <w:ilvl w:val="0"/>
          <w:numId w:val="3"/>
        </w:numPr>
      </w:pPr>
      <w:r>
        <w:t>Inability to provide clear explanation of transaction rationale</w:t>
      </w:r>
    </w:p>
    <w:p w14:paraId="632087C8" w14:textId="77777777" w:rsidR="00B37128" w:rsidRDefault="00000000">
      <w:pPr>
        <w:pStyle w:val="MdListItem"/>
        <w:numPr>
          <w:ilvl w:val="0"/>
          <w:numId w:val="3"/>
        </w:numPr>
      </w:pPr>
      <w:r>
        <w:t>Conflicting information provided in different contexts</w:t>
      </w:r>
    </w:p>
    <w:p w14:paraId="7205E2E3" w14:textId="77777777" w:rsidR="00B37128" w:rsidRDefault="00000000">
      <w:pPr>
        <w:pStyle w:val="MdListItem"/>
        <w:numPr>
          <w:ilvl w:val="0"/>
          <w:numId w:val="3"/>
        </w:numPr>
      </w:pPr>
      <w:r>
        <w:t>Media reports or adverse news concerning client or beneficial owners</w:t>
      </w:r>
    </w:p>
    <w:p w14:paraId="07328859" w14:textId="77777777" w:rsidR="003F6493" w:rsidRDefault="003F6493" w:rsidP="003F6493">
      <w:pPr>
        <w:pStyle w:val="MdListItem"/>
        <w:ind w:left="0" w:firstLine="0"/>
        <w:rPr>
          <w:lang w:val="en-AU"/>
        </w:rPr>
      </w:pPr>
    </w:p>
    <w:p w14:paraId="06B65B86" w14:textId="77777777" w:rsidR="003F6493" w:rsidRDefault="003F6493" w:rsidP="003F6493">
      <w:pPr>
        <w:pStyle w:val="MdHeading3"/>
      </w:pPr>
      <w:r>
        <w:t>7.2 Regulatory Reporting Obligations</w:t>
      </w:r>
    </w:p>
    <w:p w14:paraId="1CE1CBFE" w14:textId="77777777" w:rsidR="003F6493" w:rsidRDefault="003F6493" w:rsidP="003F6493">
      <w:pPr>
        <w:pStyle w:val="MdParagraph"/>
      </w:pPr>
      <w:r>
        <w:t>As a reporting entity under the AML/CTF Act, ELRC is subject to mandatory reporting obligations to AUSTRAC. These obligations are non-delegable and must be fulfilled regardless of any other business considerations. ELRC’s reporting framework encompasses three categories of statutory reports, each governed by specific triggers, timelines, and procedural requirements.</w:t>
      </w:r>
    </w:p>
    <w:p w14:paraId="1D5B9E7A" w14:textId="77777777" w:rsidR="003F6493" w:rsidRDefault="003F6493" w:rsidP="003F6493">
      <w:pPr>
        <w:pStyle w:val="MdHeading4"/>
      </w:pPr>
      <w:r>
        <w:t>(a) Suspicious Matter Reports (SMRs)</w:t>
      </w:r>
    </w:p>
    <w:p w14:paraId="5EDB6192" w14:textId="77777777" w:rsidR="003F6493" w:rsidRDefault="003F6493" w:rsidP="003F6493">
      <w:pPr>
        <w:pStyle w:val="MdParagraph"/>
      </w:pPr>
      <w:r>
        <w:t>ELRC must submit a Suspicious Matter Report (SMR) to AUSTRAC where it forms a suspicion on reasonable grounds that a person or transaction may be connected with money laundering, terrorism financing, tax evasion, proceeds of crime, or any other offence under a Commonwealth, State, or Territory law. The obligation to report arises at the point of suspicion and is not contingent on certainty or completion of an investigation.</w:t>
      </w:r>
    </w:p>
    <w:p w14:paraId="213B012C" w14:textId="77777777" w:rsidR="003F6493" w:rsidRDefault="003F6493" w:rsidP="003F6493">
      <w:pPr>
        <w:pStyle w:val="MdParagraph"/>
      </w:pPr>
      <w:r>
        <w:rPr>
          <w:b/>
        </w:rPr>
        <w:t>Reporting Timelines:</w:t>
      </w:r>
    </w:p>
    <w:p w14:paraId="6FA8B45F" w14:textId="356C235C" w:rsidR="003F6493" w:rsidRDefault="003F6493" w:rsidP="003F6493">
      <w:pPr>
        <w:pStyle w:val="MdListItem"/>
        <w:numPr>
          <w:ilvl w:val="0"/>
          <w:numId w:val="3"/>
        </w:numPr>
      </w:pPr>
      <w:r>
        <w:t xml:space="preserve">Within </w:t>
      </w:r>
      <w:r>
        <w:rPr>
          <w:b/>
        </w:rPr>
        <w:t>24 hours</w:t>
      </w:r>
      <w:r>
        <w:t xml:space="preserve"> where the suspicion relates to terrorism financing or the financing of a terrorist act (section 41(2) AML/CTF Act)</w:t>
      </w:r>
    </w:p>
    <w:p w14:paraId="361C93FA" w14:textId="77777777" w:rsidR="003F6493" w:rsidRDefault="003F6493" w:rsidP="003F6493">
      <w:pPr>
        <w:pStyle w:val="MdListItem"/>
        <w:numPr>
          <w:ilvl w:val="0"/>
          <w:numId w:val="3"/>
        </w:numPr>
      </w:pPr>
      <w:r>
        <w:t xml:space="preserve">Within </w:t>
      </w:r>
      <w:r>
        <w:rPr>
          <w:b/>
        </w:rPr>
        <w:t>24 hours</w:t>
      </w:r>
      <w:r>
        <w:t xml:space="preserve"> where the suspicion arises after a transaction is conducted and relates to terrorism financing</w:t>
      </w:r>
    </w:p>
    <w:p w14:paraId="0165B437" w14:textId="667EC227" w:rsidR="003F6493" w:rsidRDefault="003F6493" w:rsidP="003F6493">
      <w:pPr>
        <w:pStyle w:val="MdListItem"/>
        <w:numPr>
          <w:ilvl w:val="0"/>
          <w:numId w:val="3"/>
        </w:numPr>
      </w:pPr>
      <w:r>
        <w:t xml:space="preserve">Within </w:t>
      </w:r>
      <w:r>
        <w:rPr>
          <w:b/>
        </w:rPr>
        <w:t>3 working days</w:t>
      </w:r>
      <w:r>
        <w:t xml:space="preserve"> for all other suspicious matters identified after a transaction has been completed</w:t>
      </w:r>
    </w:p>
    <w:p w14:paraId="35BF6604" w14:textId="77777777" w:rsidR="003F6493" w:rsidRDefault="003F6493" w:rsidP="003F6493">
      <w:pPr>
        <w:pStyle w:val="MdParagraph"/>
      </w:pPr>
      <w:r>
        <w:t xml:space="preserve">The Compliance Officer is responsible for reviewing all potential SMR triggers identified by staff or transaction monitoring systems, making the determination to file, and submitting the </w:t>
      </w:r>
      <w:r>
        <w:lastRenderedPageBreak/>
        <w:t>report via the AUSTRAC Online portal. All SMR filings and supporting investigation documentation must be retained for a minimum of seven (7) years.</w:t>
      </w:r>
    </w:p>
    <w:p w14:paraId="0AB97E99" w14:textId="77777777" w:rsidR="003F6493" w:rsidRDefault="003F6493" w:rsidP="003F6493">
      <w:pPr>
        <w:pStyle w:val="MdHeading4"/>
      </w:pPr>
      <w:r>
        <w:t>(b) Threshold Transaction Reports (TTRs)</w:t>
      </w:r>
    </w:p>
    <w:p w14:paraId="093A7C0B" w14:textId="77777777" w:rsidR="003F6493" w:rsidRDefault="003F6493" w:rsidP="003F6493">
      <w:pPr>
        <w:pStyle w:val="MdParagraph"/>
      </w:pPr>
      <w:r>
        <w:t>ELRC must submit a Threshold Transaction Report (TTR) to AUSTRAC for any physical currency transaction (or series of related transactions) at or above AUD 10,000, in accordance with section 43 of the AML/CTF Act. As ELRC’s Services involve digital currency exchange and cross-border payment rather than physical cash handling, TTR obligations are most likely to arise where a Business Client physically tenders cash in connection with a transaction.</w:t>
      </w:r>
    </w:p>
    <w:p w14:paraId="23B557E9" w14:textId="77777777" w:rsidR="003F6493" w:rsidRDefault="003F6493" w:rsidP="003F6493">
      <w:pPr>
        <w:pStyle w:val="MdParagraph"/>
      </w:pPr>
      <w:r>
        <w:rPr>
          <w:b/>
        </w:rPr>
        <w:t xml:space="preserve">Reporting Timeline: </w:t>
      </w:r>
      <w:r>
        <w:t>TTRs must be submitted to AUSTRAC within 10 business days of the relevant transaction date. ELRC shall implement automated monitoring controls to identify threshold transactions and ensure timely reporting. Structuring of transactions to avoid the AUD 10,000 threshold (“smurfing”) is a criminal offence under the AML/CTF Act and will itself constitute grounds for an SMR filing.</w:t>
      </w:r>
    </w:p>
    <w:p w14:paraId="7EFA5C09" w14:textId="77777777" w:rsidR="003F6493" w:rsidRDefault="003F6493" w:rsidP="003F6493">
      <w:pPr>
        <w:pStyle w:val="MdHeading4"/>
      </w:pPr>
      <w:r>
        <w:t>(c) International Funds Transfer Instructions (IFTIs)</w:t>
      </w:r>
    </w:p>
    <w:p w14:paraId="65A9AFAA" w14:textId="77777777" w:rsidR="003F6493" w:rsidRDefault="003F6493" w:rsidP="003F6493">
      <w:pPr>
        <w:pStyle w:val="MdParagraph"/>
      </w:pPr>
      <w:r>
        <w:t>ELRC must submit an International Funds Transfer Instruction (IFTI) report to AUSTRAC for each international funds transfer instruction it sends or receives on behalf of a Business Client, in accordance with section 45 of the AML/CTF Act. Given that cross-border payment settlement is a core component of ELRC’s Services, IFTI reporting is a high-volume, routine compliance obligation.</w:t>
      </w:r>
    </w:p>
    <w:p w14:paraId="39C50A43" w14:textId="77777777" w:rsidR="003F6493" w:rsidRDefault="003F6493" w:rsidP="003F6493">
      <w:pPr>
        <w:pStyle w:val="MdParagraph"/>
      </w:pPr>
      <w:r>
        <w:rPr>
          <w:b/>
        </w:rPr>
        <w:t xml:space="preserve">Reporting Timeline: </w:t>
      </w:r>
      <w:r>
        <w:t>IFTIs must be submitted to AUSTRAC within 10 business days of the date on which the transfer instruction was sent or received. ELRC shall maintain automated systems or manual procedures capable of capturing all requisite IFTI data fields, including sender and recipient identity details, transaction amounts, correspondent institution information, and the purpose of the transfer where known.</w:t>
      </w:r>
    </w:p>
    <w:p w14:paraId="57278FB2" w14:textId="77777777" w:rsidR="003F6493" w:rsidRDefault="003F6493" w:rsidP="003F6493">
      <w:pPr>
        <w:pStyle w:val="MdHeading4"/>
      </w:pPr>
      <w:r>
        <w:t>(d) Prohibition on Tipping Off</w:t>
      </w:r>
    </w:p>
    <w:p w14:paraId="23C073F6" w14:textId="77777777" w:rsidR="003F6493" w:rsidRDefault="003F6493" w:rsidP="003F6493">
      <w:pPr>
        <w:pStyle w:val="MdParagraph"/>
      </w:pPr>
      <w:r>
        <w:t>Once ELRC forms a suspicion and determines that an SMR is to be filed, or where a regulatory investigation is underway, ELRC and all of its staff are strictly prohibited from disclosing to the relevant Business Client, its Authorized Representatives, beneficial owners, or any other person:</w:t>
      </w:r>
    </w:p>
    <w:p w14:paraId="292D651B" w14:textId="77777777" w:rsidR="003F6493" w:rsidRDefault="003F6493" w:rsidP="003F6493">
      <w:pPr>
        <w:pStyle w:val="MdListItem"/>
        <w:numPr>
          <w:ilvl w:val="0"/>
          <w:numId w:val="3"/>
        </w:numPr>
      </w:pPr>
      <w:r>
        <w:t>That an SMR has been, is being, or may be submitted to AUSTRAC</w:t>
      </w:r>
    </w:p>
    <w:p w14:paraId="4D8C9440" w14:textId="77777777" w:rsidR="003F6493" w:rsidRDefault="003F6493" w:rsidP="003F6493">
      <w:pPr>
        <w:pStyle w:val="MdListItem"/>
        <w:numPr>
          <w:ilvl w:val="0"/>
          <w:numId w:val="3"/>
        </w:numPr>
      </w:pPr>
      <w:r>
        <w:t>That AUSTRAC or any law enforcement agency is investigating or may investigate the person’s activities</w:t>
      </w:r>
    </w:p>
    <w:p w14:paraId="2520341E" w14:textId="77777777" w:rsidR="003F6493" w:rsidRDefault="003F6493" w:rsidP="003F6493">
      <w:pPr>
        <w:pStyle w:val="MdListItem"/>
        <w:numPr>
          <w:ilvl w:val="0"/>
          <w:numId w:val="3"/>
        </w:numPr>
      </w:pPr>
      <w:r>
        <w:t>The content or existence of any information provided to AUSTRAC in connection with a suspicious matter</w:t>
      </w:r>
    </w:p>
    <w:p w14:paraId="5F7C26B5" w14:textId="77777777" w:rsidR="003F6493" w:rsidRDefault="003F6493" w:rsidP="003F6493">
      <w:pPr>
        <w:pStyle w:val="MdParagraph"/>
      </w:pPr>
      <w:r>
        <w:t>This “tipping off” prohibition is set out in section 123 of the AML/CTF Act and constitutes a criminal offence. Breach of this prohibition may result in imprisonment of up to two (2) years and/or significant financial penalties. Where a Business Client enquires about a delayed or frozen transaction, ELRC staff must not reveal that the delay is attributable to an SMR filing or regulatory inquiry. Staff shall be trained on this prohibition as part of ELRC’s mandatory AML/CTF training program.</w:t>
      </w:r>
    </w:p>
    <w:p w14:paraId="38E5D65B" w14:textId="77777777" w:rsidR="003F6493" w:rsidRDefault="003F6493" w:rsidP="003F6493">
      <w:pPr>
        <w:pStyle w:val="MdHeading4"/>
      </w:pPr>
      <w:r>
        <w:lastRenderedPageBreak/>
        <w:t>(e) Safe Harbour Protection</w:t>
      </w:r>
    </w:p>
    <w:p w14:paraId="3C9BF46D" w14:textId="76A59E94" w:rsidR="003F6493" w:rsidRPr="003E49CD" w:rsidRDefault="003F6493" w:rsidP="003E49CD">
      <w:pPr>
        <w:pStyle w:val="MdParagraph"/>
      </w:pPr>
      <w:r>
        <w:t>ELRC and its staff are afforded statutory protection under section 124 of the AML/CTF Act when reporting suspicious matters to AUSTRAC in good faith. Provided a report is made honestly and on reasonable grounds, no civil, criminal, or administrative liability attaches to ELRC or any individual involved in the preparation or submission of the report, even if the suspicion subsequently proves to be unfounded. This safe harbour protection underpins ELRC’s policy of erring on the side of reporting where a genuine suspicion exists.</w:t>
      </w:r>
    </w:p>
    <w:p w14:paraId="718500B7" w14:textId="77777777" w:rsidR="00B37128" w:rsidRPr="003E49CD" w:rsidRDefault="00B37128">
      <w:pPr>
        <w:pStyle w:val="MdHr"/>
        <w:pBdr>
          <w:bottom w:val="single" w:sz="6" w:space="1" w:color="auto"/>
        </w:pBdr>
        <w:rPr>
          <w:lang w:val="en-AU"/>
        </w:rPr>
      </w:pPr>
    </w:p>
    <w:p w14:paraId="167955AF" w14:textId="77777777" w:rsidR="00B37128" w:rsidRDefault="00B37128">
      <w:pPr>
        <w:pStyle w:val="MdSpace"/>
        <w:spacing w:after="60"/>
      </w:pPr>
    </w:p>
    <w:p w14:paraId="47D8CEF3" w14:textId="77777777" w:rsidR="00B37128" w:rsidRDefault="00000000">
      <w:pPr>
        <w:pStyle w:val="MdHeading2"/>
      </w:pPr>
      <w:r>
        <w:t>8. Record Keeping and Compliance Documentation</w:t>
      </w:r>
    </w:p>
    <w:p w14:paraId="638818D7" w14:textId="77777777" w:rsidR="00B37128" w:rsidRDefault="00000000">
      <w:pPr>
        <w:pStyle w:val="MdHeading3"/>
      </w:pPr>
      <w:r>
        <w:t>8.1 Record Retention Requirements</w:t>
      </w:r>
    </w:p>
    <w:p w14:paraId="772DE4C4" w14:textId="77777777" w:rsidR="00B37128" w:rsidRDefault="00000000">
      <w:pPr>
        <w:pStyle w:val="MdParagraph"/>
      </w:pPr>
      <w:r>
        <w:t>ELRC maintains comprehensive records of all compliance activities for a minimum of seven (7) years from the date of record creation, including:</w:t>
      </w:r>
    </w:p>
    <w:p w14:paraId="36AE2C4A" w14:textId="77777777" w:rsidR="00B37128" w:rsidRDefault="00B37128">
      <w:pPr>
        <w:pStyle w:val="MdSpace"/>
        <w:spacing w:after="60"/>
      </w:pPr>
    </w:p>
    <w:p w14:paraId="52E5DABD" w14:textId="77777777" w:rsidR="00B37128" w:rsidRDefault="00000000" w:rsidP="001336C8">
      <w:pPr>
        <w:pStyle w:val="MdListItem"/>
        <w:numPr>
          <w:ilvl w:val="0"/>
          <w:numId w:val="21"/>
        </w:numPr>
      </w:pPr>
      <w:r>
        <w:rPr>
          <w:rStyle w:val="MdStrong"/>
        </w:rPr>
        <w:t>Customer Due Diligence Records</w:t>
      </w:r>
      <w:r>
        <w:t>:</w:t>
      </w:r>
    </w:p>
    <w:p w14:paraId="570565EA" w14:textId="77777777" w:rsidR="00B37128" w:rsidRDefault="00000000" w:rsidP="001336C8">
      <w:pPr>
        <w:pStyle w:val="MdListItem"/>
        <w:numPr>
          <w:ilvl w:val="1"/>
          <w:numId w:val="21"/>
        </w:numPr>
      </w:pPr>
      <w:r>
        <w:t>Identification documents (certified copies)</w:t>
      </w:r>
    </w:p>
    <w:p w14:paraId="0523B95F" w14:textId="77777777" w:rsidR="00B37128" w:rsidRDefault="00000000" w:rsidP="001336C8">
      <w:pPr>
        <w:pStyle w:val="MdListItem"/>
        <w:numPr>
          <w:ilvl w:val="1"/>
          <w:numId w:val="21"/>
        </w:numPr>
      </w:pPr>
      <w:r>
        <w:t>Verification documentation</w:t>
      </w:r>
    </w:p>
    <w:p w14:paraId="468B328D" w14:textId="77777777" w:rsidR="00B37128" w:rsidRDefault="00000000" w:rsidP="001336C8">
      <w:pPr>
        <w:pStyle w:val="MdListItem"/>
        <w:numPr>
          <w:ilvl w:val="1"/>
          <w:numId w:val="21"/>
        </w:numPr>
      </w:pPr>
      <w:r>
        <w:t>Beneficial ownership declarations</w:t>
      </w:r>
    </w:p>
    <w:p w14:paraId="651F182C" w14:textId="77777777" w:rsidR="00B37128" w:rsidRDefault="00000000" w:rsidP="001336C8">
      <w:pPr>
        <w:pStyle w:val="MdListItem"/>
        <w:numPr>
          <w:ilvl w:val="1"/>
          <w:numId w:val="21"/>
        </w:numPr>
      </w:pPr>
      <w:r>
        <w:t>Authorized representative authorizations</w:t>
      </w:r>
    </w:p>
    <w:p w14:paraId="74EF3EBA" w14:textId="77777777" w:rsidR="00B37128" w:rsidRDefault="00000000" w:rsidP="001336C8">
      <w:pPr>
        <w:pStyle w:val="MdListItem"/>
        <w:numPr>
          <w:ilvl w:val="1"/>
          <w:numId w:val="21"/>
        </w:numPr>
      </w:pPr>
      <w:r>
        <w:t>Enhanced due diligence files</w:t>
      </w:r>
    </w:p>
    <w:p w14:paraId="1946513F" w14:textId="77777777" w:rsidR="00B37128" w:rsidRDefault="00000000" w:rsidP="001336C8">
      <w:pPr>
        <w:pStyle w:val="MdListItem"/>
        <w:numPr>
          <w:ilvl w:val="1"/>
          <w:numId w:val="21"/>
        </w:numPr>
      </w:pPr>
      <w:r>
        <w:t>PEP screening records</w:t>
      </w:r>
    </w:p>
    <w:p w14:paraId="39A7921D" w14:textId="77777777" w:rsidR="00B37128" w:rsidRDefault="00000000" w:rsidP="001336C8">
      <w:pPr>
        <w:pStyle w:val="MdListItem"/>
        <w:numPr>
          <w:ilvl w:val="1"/>
          <w:numId w:val="21"/>
        </w:numPr>
      </w:pPr>
      <w:r>
        <w:t>Sanctions screening records and tool results</w:t>
      </w:r>
    </w:p>
    <w:p w14:paraId="6C9D2D29" w14:textId="77777777" w:rsidR="00B37128" w:rsidRDefault="00000000" w:rsidP="001336C8">
      <w:pPr>
        <w:pStyle w:val="MdListItem"/>
        <w:numPr>
          <w:ilvl w:val="1"/>
          <w:numId w:val="21"/>
        </w:numPr>
      </w:pPr>
      <w:r>
        <w:t>Third-party screening tool reports</w:t>
      </w:r>
    </w:p>
    <w:p w14:paraId="64DA7ACC" w14:textId="77777777" w:rsidR="00B37128" w:rsidRDefault="00000000" w:rsidP="001336C8">
      <w:pPr>
        <w:pStyle w:val="MdListItem"/>
        <w:numPr>
          <w:ilvl w:val="0"/>
          <w:numId w:val="21"/>
        </w:numPr>
      </w:pPr>
      <w:r>
        <w:rPr>
          <w:rStyle w:val="MdStrong"/>
        </w:rPr>
        <w:t>Transaction Records</w:t>
      </w:r>
      <w:r>
        <w:t>:</w:t>
      </w:r>
    </w:p>
    <w:p w14:paraId="2CA5DC85" w14:textId="77777777" w:rsidR="00B37128" w:rsidRDefault="00000000" w:rsidP="001336C8">
      <w:pPr>
        <w:pStyle w:val="MdListItem"/>
        <w:numPr>
          <w:ilvl w:val="1"/>
          <w:numId w:val="21"/>
        </w:numPr>
      </w:pPr>
      <w:r>
        <w:t>All transaction details</w:t>
      </w:r>
    </w:p>
    <w:p w14:paraId="7209B02E" w14:textId="77777777" w:rsidR="00B37128" w:rsidRDefault="00000000" w:rsidP="001336C8">
      <w:pPr>
        <w:pStyle w:val="MdListItem"/>
        <w:numPr>
          <w:ilvl w:val="1"/>
          <w:numId w:val="21"/>
        </w:numPr>
      </w:pPr>
      <w:r>
        <w:t>Transaction parties and counterparties</w:t>
      </w:r>
    </w:p>
    <w:p w14:paraId="78B8DB0E" w14:textId="77777777" w:rsidR="00B37128" w:rsidRDefault="00000000" w:rsidP="001336C8">
      <w:pPr>
        <w:pStyle w:val="MdListItem"/>
        <w:numPr>
          <w:ilvl w:val="1"/>
          <w:numId w:val="21"/>
        </w:numPr>
      </w:pPr>
      <w:r>
        <w:t>Transaction amounts and currencies</w:t>
      </w:r>
    </w:p>
    <w:p w14:paraId="66B89C26" w14:textId="77777777" w:rsidR="00B37128" w:rsidRDefault="00000000" w:rsidP="001336C8">
      <w:pPr>
        <w:pStyle w:val="MdListItem"/>
        <w:numPr>
          <w:ilvl w:val="1"/>
          <w:numId w:val="21"/>
        </w:numPr>
      </w:pPr>
      <w:r>
        <w:t>Transaction dates and times</w:t>
      </w:r>
    </w:p>
    <w:p w14:paraId="534B4594" w14:textId="77777777" w:rsidR="00B37128" w:rsidRDefault="00000000" w:rsidP="001336C8">
      <w:pPr>
        <w:pStyle w:val="MdListItem"/>
        <w:numPr>
          <w:ilvl w:val="1"/>
          <w:numId w:val="21"/>
        </w:numPr>
      </w:pPr>
      <w:r>
        <w:t>Transaction purposes and descriptions</w:t>
      </w:r>
    </w:p>
    <w:p w14:paraId="09B92E90" w14:textId="77777777" w:rsidR="00B37128" w:rsidRDefault="00000000" w:rsidP="001336C8">
      <w:pPr>
        <w:pStyle w:val="MdListItem"/>
        <w:numPr>
          <w:ilvl w:val="1"/>
          <w:numId w:val="21"/>
        </w:numPr>
      </w:pPr>
      <w:r>
        <w:t>All supporting documentation</w:t>
      </w:r>
    </w:p>
    <w:p w14:paraId="203BFE17" w14:textId="77777777" w:rsidR="00B37128" w:rsidRDefault="00000000" w:rsidP="001336C8">
      <w:pPr>
        <w:pStyle w:val="MdListItem"/>
        <w:numPr>
          <w:ilvl w:val="1"/>
          <w:numId w:val="21"/>
        </w:numPr>
      </w:pPr>
      <w:r>
        <w:t>Transaction monitoring and screening results</w:t>
      </w:r>
    </w:p>
    <w:p w14:paraId="388F7F8A" w14:textId="77777777" w:rsidR="00B37128" w:rsidRDefault="00000000" w:rsidP="001336C8">
      <w:pPr>
        <w:pStyle w:val="MdListItem"/>
        <w:numPr>
          <w:ilvl w:val="0"/>
          <w:numId w:val="21"/>
        </w:numPr>
      </w:pPr>
      <w:r>
        <w:rPr>
          <w:rStyle w:val="MdStrong"/>
        </w:rPr>
        <w:t>Compliance Monitoring Records</w:t>
      </w:r>
      <w:r>
        <w:t>:</w:t>
      </w:r>
    </w:p>
    <w:p w14:paraId="741C9A09" w14:textId="77777777" w:rsidR="00B37128" w:rsidRDefault="00000000" w:rsidP="001336C8">
      <w:pPr>
        <w:pStyle w:val="MdListItem"/>
        <w:numPr>
          <w:ilvl w:val="1"/>
          <w:numId w:val="21"/>
        </w:numPr>
      </w:pPr>
      <w:r>
        <w:t>Suspicious activity identifications</w:t>
      </w:r>
    </w:p>
    <w:p w14:paraId="084E415C" w14:textId="6102DC8F" w:rsidR="00B37128" w:rsidRDefault="00000000" w:rsidP="001336C8">
      <w:pPr>
        <w:pStyle w:val="MdListItem"/>
        <w:numPr>
          <w:ilvl w:val="1"/>
          <w:numId w:val="21"/>
        </w:numPr>
      </w:pPr>
      <w:r>
        <w:t>Suspicious Matter Reports (SMRs) filed with AUSTRAC</w:t>
      </w:r>
    </w:p>
    <w:p w14:paraId="3D2E2417" w14:textId="77777777" w:rsidR="00B37128" w:rsidRDefault="00000000" w:rsidP="001336C8">
      <w:pPr>
        <w:pStyle w:val="MdListItem"/>
        <w:numPr>
          <w:ilvl w:val="1"/>
          <w:numId w:val="21"/>
        </w:numPr>
      </w:pPr>
      <w:r>
        <w:t>Screening results and determinations</w:t>
      </w:r>
    </w:p>
    <w:p w14:paraId="2E2B4CA4" w14:textId="77777777" w:rsidR="00B37128" w:rsidRDefault="00000000" w:rsidP="001336C8">
      <w:pPr>
        <w:pStyle w:val="MdListItem"/>
        <w:numPr>
          <w:ilvl w:val="1"/>
          <w:numId w:val="21"/>
        </w:numPr>
      </w:pPr>
      <w:r>
        <w:t>Screening tool reports and audit trails</w:t>
      </w:r>
    </w:p>
    <w:p w14:paraId="4E27F197" w14:textId="77777777" w:rsidR="00B37128" w:rsidRDefault="00000000" w:rsidP="001336C8">
      <w:pPr>
        <w:pStyle w:val="MdListItem"/>
        <w:numPr>
          <w:ilvl w:val="1"/>
          <w:numId w:val="21"/>
        </w:numPr>
      </w:pPr>
      <w:r>
        <w:t>Manual review documentation</w:t>
      </w:r>
    </w:p>
    <w:p w14:paraId="6D6C08AB" w14:textId="77777777" w:rsidR="00B37128" w:rsidRDefault="00000000" w:rsidP="001336C8">
      <w:pPr>
        <w:pStyle w:val="MdListItem"/>
        <w:numPr>
          <w:ilvl w:val="0"/>
          <w:numId w:val="21"/>
        </w:numPr>
      </w:pPr>
      <w:r>
        <w:rPr>
          <w:rStyle w:val="MdStrong"/>
        </w:rPr>
        <w:t>Staff Training Records</w:t>
      </w:r>
      <w:r>
        <w:t>:</w:t>
      </w:r>
    </w:p>
    <w:p w14:paraId="649567A7" w14:textId="77777777" w:rsidR="00B37128" w:rsidRDefault="00000000" w:rsidP="001336C8">
      <w:pPr>
        <w:pStyle w:val="MdListItem"/>
        <w:numPr>
          <w:ilvl w:val="1"/>
          <w:numId w:val="21"/>
        </w:numPr>
      </w:pPr>
      <w:r>
        <w:t>AML/CTF compliance training records</w:t>
      </w:r>
    </w:p>
    <w:p w14:paraId="52B66249" w14:textId="77777777" w:rsidR="00B37128" w:rsidRDefault="00000000" w:rsidP="001336C8">
      <w:pPr>
        <w:pStyle w:val="MdListItem"/>
        <w:numPr>
          <w:ilvl w:val="1"/>
          <w:numId w:val="21"/>
        </w:numPr>
      </w:pPr>
      <w:r>
        <w:lastRenderedPageBreak/>
        <w:t>Training attendance and dates</w:t>
      </w:r>
    </w:p>
    <w:p w14:paraId="39E56496" w14:textId="77777777" w:rsidR="00B37128" w:rsidRDefault="00000000" w:rsidP="001336C8">
      <w:pPr>
        <w:pStyle w:val="MdListItem"/>
        <w:numPr>
          <w:ilvl w:val="1"/>
          <w:numId w:val="21"/>
        </w:numPr>
      </w:pPr>
      <w:r>
        <w:t>Training content and curriculum</w:t>
      </w:r>
    </w:p>
    <w:p w14:paraId="30508EB5" w14:textId="77777777" w:rsidR="00B37128" w:rsidRDefault="00000000" w:rsidP="001336C8">
      <w:pPr>
        <w:pStyle w:val="MdListItem"/>
        <w:numPr>
          <w:ilvl w:val="1"/>
          <w:numId w:val="21"/>
        </w:numPr>
      </w:pPr>
      <w:r>
        <w:t>Staff competency assessments</w:t>
      </w:r>
    </w:p>
    <w:p w14:paraId="1D7F82C8" w14:textId="77777777" w:rsidR="00B37128" w:rsidRDefault="00000000" w:rsidP="001336C8">
      <w:pPr>
        <w:pStyle w:val="MdListItem"/>
        <w:numPr>
          <w:ilvl w:val="1"/>
          <w:numId w:val="21"/>
        </w:numPr>
      </w:pPr>
      <w:r>
        <w:t>Annual refresher training records</w:t>
      </w:r>
    </w:p>
    <w:p w14:paraId="3FC90201" w14:textId="77777777" w:rsidR="00B37128" w:rsidRDefault="00000000" w:rsidP="001336C8">
      <w:pPr>
        <w:pStyle w:val="MdListItem"/>
        <w:numPr>
          <w:ilvl w:val="0"/>
          <w:numId w:val="21"/>
        </w:numPr>
      </w:pPr>
      <w:r>
        <w:rPr>
          <w:rStyle w:val="MdStrong"/>
        </w:rPr>
        <w:t>Third-Party Management Records</w:t>
      </w:r>
      <w:r>
        <w:t>:</w:t>
      </w:r>
    </w:p>
    <w:p w14:paraId="1D5EC7EB" w14:textId="77777777" w:rsidR="00B37128" w:rsidRDefault="00000000" w:rsidP="001336C8">
      <w:pPr>
        <w:pStyle w:val="MdListItem"/>
        <w:numPr>
          <w:ilvl w:val="1"/>
          <w:numId w:val="21"/>
        </w:numPr>
      </w:pPr>
      <w:r>
        <w:t>Screening tool vendor due diligence files</w:t>
      </w:r>
    </w:p>
    <w:p w14:paraId="582836E5" w14:textId="77777777" w:rsidR="00B37128" w:rsidRDefault="00000000" w:rsidP="001336C8">
      <w:pPr>
        <w:pStyle w:val="MdListItem"/>
        <w:numPr>
          <w:ilvl w:val="1"/>
          <w:numId w:val="21"/>
        </w:numPr>
      </w:pPr>
      <w:r>
        <w:t>Master Service Agreements</w:t>
      </w:r>
    </w:p>
    <w:p w14:paraId="19CED5B2" w14:textId="77777777" w:rsidR="00B37128" w:rsidRDefault="00000000" w:rsidP="001336C8">
      <w:pPr>
        <w:pStyle w:val="MdListItem"/>
        <w:numPr>
          <w:ilvl w:val="1"/>
          <w:numId w:val="21"/>
        </w:numPr>
      </w:pPr>
      <w:r>
        <w:t>Vendor compliance certifications</w:t>
      </w:r>
    </w:p>
    <w:p w14:paraId="2EE8D3B9" w14:textId="77777777" w:rsidR="00B37128" w:rsidRDefault="00000000" w:rsidP="001336C8">
      <w:pPr>
        <w:pStyle w:val="MdListItem"/>
        <w:numPr>
          <w:ilvl w:val="1"/>
          <w:numId w:val="21"/>
        </w:numPr>
      </w:pPr>
      <w:r>
        <w:t>Vendor performance monitoring records</w:t>
      </w:r>
    </w:p>
    <w:p w14:paraId="350F33AE" w14:textId="77777777" w:rsidR="00B37128" w:rsidRDefault="00000000" w:rsidP="001336C8">
      <w:pPr>
        <w:pStyle w:val="MdListItem"/>
        <w:numPr>
          <w:ilvl w:val="1"/>
          <w:numId w:val="21"/>
        </w:numPr>
      </w:pPr>
      <w:r>
        <w:t>Vendor audit results and reports</w:t>
      </w:r>
    </w:p>
    <w:p w14:paraId="233E5B07" w14:textId="77777777" w:rsidR="00B37128" w:rsidRDefault="00B37128">
      <w:pPr>
        <w:pStyle w:val="MdSpace"/>
        <w:spacing w:after="60"/>
      </w:pPr>
    </w:p>
    <w:p w14:paraId="2A36D397" w14:textId="77777777" w:rsidR="00B37128" w:rsidRDefault="00B37128">
      <w:pPr>
        <w:pStyle w:val="MdHr"/>
        <w:pBdr>
          <w:bottom w:val="single" w:sz="6" w:space="1" w:color="auto"/>
        </w:pBdr>
      </w:pPr>
    </w:p>
    <w:p w14:paraId="14601C9A" w14:textId="77777777" w:rsidR="00B37128" w:rsidRDefault="00B37128">
      <w:pPr>
        <w:pStyle w:val="MdSpace"/>
        <w:spacing w:after="60"/>
      </w:pPr>
    </w:p>
    <w:p w14:paraId="46360421" w14:textId="77777777" w:rsidR="00B37128" w:rsidRDefault="00000000">
      <w:pPr>
        <w:pStyle w:val="MdHeading2"/>
      </w:pPr>
      <w:r>
        <w:t>9. Compliance Officer and Organizational Responsibilities</w:t>
      </w:r>
    </w:p>
    <w:p w14:paraId="21494B12" w14:textId="77777777" w:rsidR="00B37128" w:rsidRDefault="00000000">
      <w:pPr>
        <w:pStyle w:val="MdHeading3"/>
      </w:pPr>
      <w:r>
        <w:t>9.1 Compliance Officer Role</w:t>
      </w:r>
    </w:p>
    <w:p w14:paraId="13D1A64B" w14:textId="77777777" w:rsidR="00B37128" w:rsidRDefault="00000000">
      <w:pPr>
        <w:pStyle w:val="MdParagraph"/>
      </w:pPr>
      <w:r>
        <w:t>ELRC designates a senior individual as the Compliance Officer responsible for:</w:t>
      </w:r>
    </w:p>
    <w:p w14:paraId="6CE539ED" w14:textId="77777777" w:rsidR="00B37128" w:rsidRDefault="00B37128">
      <w:pPr>
        <w:pStyle w:val="MdSpace"/>
        <w:spacing w:after="60"/>
      </w:pPr>
    </w:p>
    <w:p w14:paraId="30EC1928" w14:textId="77777777" w:rsidR="00B37128" w:rsidRDefault="00000000" w:rsidP="001336C8">
      <w:pPr>
        <w:pStyle w:val="MdListItem"/>
        <w:numPr>
          <w:ilvl w:val="0"/>
          <w:numId w:val="22"/>
        </w:numPr>
      </w:pPr>
      <w:r>
        <w:rPr>
          <w:rStyle w:val="MdStrong"/>
        </w:rPr>
        <w:t>Compliance Program Oversight</w:t>
      </w:r>
      <w:r>
        <w:t>: Overseeing the implementation and maintenance of AML/CTF compliance programs</w:t>
      </w:r>
    </w:p>
    <w:p w14:paraId="6C8DE81F" w14:textId="77777777" w:rsidR="00B37128" w:rsidRDefault="00000000" w:rsidP="001336C8">
      <w:pPr>
        <w:pStyle w:val="MdListItem"/>
        <w:numPr>
          <w:ilvl w:val="0"/>
          <w:numId w:val="22"/>
        </w:numPr>
      </w:pPr>
      <w:r>
        <w:rPr>
          <w:rStyle w:val="MdStrong"/>
        </w:rPr>
        <w:t>Third-Party Tool Management</w:t>
      </w:r>
      <w:r>
        <w:t>: Managing relationships with third-party screening tool providers</w:t>
      </w:r>
    </w:p>
    <w:p w14:paraId="1B0EF03D" w14:textId="77777777" w:rsidR="00B37128" w:rsidRDefault="00000000" w:rsidP="001336C8">
      <w:pPr>
        <w:pStyle w:val="MdListItem"/>
        <w:numPr>
          <w:ilvl w:val="0"/>
          <w:numId w:val="22"/>
        </w:numPr>
      </w:pPr>
      <w:r>
        <w:rPr>
          <w:rStyle w:val="MdStrong"/>
        </w:rPr>
        <w:t>Screening Result Review</w:t>
      </w:r>
      <w:r>
        <w:t>: Reviewing screening results from third-party tools and making determinations</w:t>
      </w:r>
    </w:p>
    <w:p w14:paraId="27231B1E" w14:textId="77777777" w:rsidR="00B37128" w:rsidRDefault="00000000" w:rsidP="001336C8">
      <w:pPr>
        <w:pStyle w:val="MdListItem"/>
        <w:numPr>
          <w:ilvl w:val="0"/>
          <w:numId w:val="22"/>
        </w:numPr>
      </w:pPr>
      <w:r>
        <w:rPr>
          <w:rStyle w:val="MdStrong"/>
        </w:rPr>
        <w:t>Policy Development</w:t>
      </w:r>
      <w:r>
        <w:t>: Developing and updating AML/CTF policies and procedures</w:t>
      </w:r>
    </w:p>
    <w:p w14:paraId="08D42844" w14:textId="77777777" w:rsidR="00B37128" w:rsidRDefault="00000000" w:rsidP="001336C8">
      <w:pPr>
        <w:pStyle w:val="MdListItem"/>
        <w:numPr>
          <w:ilvl w:val="0"/>
          <w:numId w:val="22"/>
        </w:numPr>
      </w:pPr>
      <w:r>
        <w:rPr>
          <w:rStyle w:val="MdStrong"/>
        </w:rPr>
        <w:t>Staff Training</w:t>
      </w:r>
      <w:r>
        <w:t>: Ensuring all staff receive appropriate AML/CTF compliance training</w:t>
      </w:r>
    </w:p>
    <w:p w14:paraId="4E196E6D" w14:textId="77777777" w:rsidR="00B37128" w:rsidRDefault="00000000" w:rsidP="001336C8">
      <w:pPr>
        <w:pStyle w:val="MdListItem"/>
        <w:numPr>
          <w:ilvl w:val="0"/>
          <w:numId w:val="22"/>
        </w:numPr>
      </w:pPr>
      <w:r>
        <w:rPr>
          <w:rStyle w:val="MdStrong"/>
        </w:rPr>
        <w:t>Suspicious Activity Review</w:t>
      </w:r>
      <w:r>
        <w:t>: Reviewing identified suspicious activities and determining appropriateness of SAR filing</w:t>
      </w:r>
    </w:p>
    <w:p w14:paraId="40AE2E81" w14:textId="77777777" w:rsidR="00B37128" w:rsidRDefault="00000000" w:rsidP="001336C8">
      <w:pPr>
        <w:pStyle w:val="MdListItem"/>
        <w:numPr>
          <w:ilvl w:val="0"/>
          <w:numId w:val="22"/>
        </w:numPr>
      </w:pPr>
      <w:r>
        <w:rPr>
          <w:rStyle w:val="MdStrong"/>
        </w:rPr>
        <w:t>Regulatory Liaison</w:t>
      </w:r>
      <w:r>
        <w:t>: Communicating with AUSTRAC and other regulatory agencies regarding compliance matters</w:t>
      </w:r>
    </w:p>
    <w:p w14:paraId="753ADBB5" w14:textId="77777777" w:rsidR="00B37128" w:rsidRDefault="00000000" w:rsidP="001336C8">
      <w:pPr>
        <w:pStyle w:val="MdListItem"/>
        <w:numPr>
          <w:ilvl w:val="0"/>
          <w:numId w:val="22"/>
        </w:numPr>
      </w:pPr>
      <w:r>
        <w:rPr>
          <w:rStyle w:val="MdStrong"/>
        </w:rPr>
        <w:t>Incident Response</w:t>
      </w:r>
      <w:r>
        <w:t>: Managing compliance incidents and breaches</w:t>
      </w:r>
    </w:p>
    <w:p w14:paraId="6E0BAE94" w14:textId="77777777" w:rsidR="00B37128" w:rsidRDefault="00000000" w:rsidP="001336C8">
      <w:pPr>
        <w:pStyle w:val="MdListItem"/>
        <w:numPr>
          <w:ilvl w:val="0"/>
          <w:numId w:val="22"/>
        </w:numPr>
      </w:pPr>
      <w:r>
        <w:rPr>
          <w:rStyle w:val="MdStrong"/>
        </w:rPr>
        <w:t>Vendor Management</w:t>
      </w:r>
      <w:r>
        <w:t>: Overseeing third-party screening tool provider performance and compliance</w:t>
      </w:r>
    </w:p>
    <w:p w14:paraId="51355F52" w14:textId="77777777" w:rsidR="00B37128" w:rsidRDefault="00000000" w:rsidP="001336C8">
      <w:pPr>
        <w:pStyle w:val="MdListItem"/>
        <w:numPr>
          <w:ilvl w:val="0"/>
          <w:numId w:val="22"/>
        </w:numPr>
      </w:pPr>
      <w:r>
        <w:rPr>
          <w:rStyle w:val="MdStrong"/>
        </w:rPr>
        <w:t>Annual Review</w:t>
      </w:r>
      <w:r>
        <w:t>: Conducting annual review of AML/CTF compliance program effectiveness</w:t>
      </w:r>
    </w:p>
    <w:p w14:paraId="0796BADD" w14:textId="77777777" w:rsidR="00B37128" w:rsidRDefault="00B37128">
      <w:pPr>
        <w:pStyle w:val="MdSpace"/>
        <w:spacing w:after="60"/>
      </w:pPr>
    </w:p>
    <w:p w14:paraId="3C8B5D3E" w14:textId="77777777" w:rsidR="00B37128" w:rsidRDefault="00B37128">
      <w:pPr>
        <w:pStyle w:val="MdHr"/>
        <w:pBdr>
          <w:bottom w:val="single" w:sz="6" w:space="1" w:color="auto"/>
        </w:pBdr>
      </w:pPr>
    </w:p>
    <w:p w14:paraId="4984ECC3" w14:textId="77777777" w:rsidR="00B37128" w:rsidRDefault="00B37128">
      <w:pPr>
        <w:pStyle w:val="MdSpace"/>
        <w:spacing w:after="60"/>
      </w:pPr>
    </w:p>
    <w:p w14:paraId="6036AE41" w14:textId="77777777" w:rsidR="00B37128" w:rsidRDefault="00B37128">
      <w:pPr>
        <w:pStyle w:val="MdSpace"/>
        <w:spacing w:after="60"/>
      </w:pPr>
    </w:p>
    <w:p w14:paraId="082D2C4D" w14:textId="77777777" w:rsidR="00B37128" w:rsidRPr="00AE56B9" w:rsidRDefault="00B37128">
      <w:pPr>
        <w:pStyle w:val="MdSpace"/>
        <w:spacing w:after="60"/>
        <w:rPr>
          <w:lang w:val="en-AU"/>
        </w:rPr>
      </w:pPr>
    </w:p>
    <w:p w14:paraId="48092884" w14:textId="65ABAED3" w:rsidR="00B37128" w:rsidRDefault="00000000">
      <w:pPr>
        <w:pStyle w:val="MdHeading2"/>
      </w:pPr>
      <w:r>
        <w:lastRenderedPageBreak/>
        <w:t>10. Definitions</w:t>
      </w:r>
    </w:p>
    <w:p w14:paraId="22641FAE" w14:textId="77777777" w:rsidR="00B37128" w:rsidRDefault="00000000">
      <w:pPr>
        <w:pStyle w:val="MdParagraph"/>
      </w:pPr>
      <w:r>
        <w:t>For purposes of this policy:</w:t>
      </w:r>
    </w:p>
    <w:p w14:paraId="762013E0" w14:textId="77777777" w:rsidR="00B37128" w:rsidRDefault="00B37128">
      <w:pPr>
        <w:pStyle w:val="MdSpace"/>
        <w:spacing w:after="60"/>
      </w:pPr>
    </w:p>
    <w:tbl>
      <w:tblPr>
        <w:tblW w:w="5000"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000" w:firstRow="0" w:lastRow="0" w:firstColumn="0" w:lastColumn="0" w:noHBand="0" w:noVBand="0"/>
      </w:tblPr>
      <w:tblGrid>
        <w:gridCol w:w="2549"/>
        <w:gridCol w:w="6477"/>
      </w:tblGrid>
      <w:tr w:rsidR="00B37128" w14:paraId="28F9879E" w14:textId="77777777">
        <w:trPr>
          <w:cantSplit/>
          <w:trHeight w:val="720"/>
          <w:tblHeader/>
        </w:trPr>
        <w:tc>
          <w:tcPr>
            <w:tcW w:w="0" w:type="auto"/>
            <w:tcMar>
              <w:top w:w="100" w:type="dxa"/>
              <w:left w:w="120" w:type="dxa"/>
              <w:bottom w:w="100" w:type="dxa"/>
              <w:right w:w="120" w:type="dxa"/>
            </w:tcMar>
            <w:vAlign w:val="center"/>
          </w:tcPr>
          <w:p w14:paraId="47A76505" w14:textId="77777777" w:rsidR="00B37128" w:rsidRDefault="00000000">
            <w:pPr>
              <w:pStyle w:val="MdTableHeader"/>
            </w:pPr>
            <w:r>
              <w:rPr>
                <w:rStyle w:val="MdStrong"/>
                <w:b/>
                <w:bCs/>
              </w:rPr>
              <w:t>Term</w:t>
            </w:r>
          </w:p>
        </w:tc>
        <w:tc>
          <w:tcPr>
            <w:tcW w:w="0" w:type="auto"/>
            <w:tcMar>
              <w:top w:w="100" w:type="dxa"/>
              <w:left w:w="120" w:type="dxa"/>
              <w:bottom w:w="100" w:type="dxa"/>
              <w:right w:w="120" w:type="dxa"/>
            </w:tcMar>
            <w:vAlign w:val="center"/>
          </w:tcPr>
          <w:p w14:paraId="7BDB5930" w14:textId="77777777" w:rsidR="00B37128" w:rsidRDefault="00000000">
            <w:pPr>
              <w:pStyle w:val="MdTableHeader"/>
            </w:pPr>
            <w:r>
              <w:rPr>
                <w:rStyle w:val="MdStrong"/>
                <w:b/>
                <w:bCs/>
              </w:rPr>
              <w:t>Definition</w:t>
            </w:r>
          </w:p>
        </w:tc>
      </w:tr>
      <w:tr w:rsidR="00B37128" w14:paraId="68490F70" w14:textId="77777777">
        <w:trPr>
          <w:cantSplit/>
          <w:trHeight w:val="576"/>
        </w:trPr>
        <w:tc>
          <w:tcPr>
            <w:tcW w:w="0" w:type="auto"/>
            <w:tcMar>
              <w:top w:w="80" w:type="dxa"/>
              <w:left w:w="120" w:type="dxa"/>
              <w:bottom w:w="80" w:type="dxa"/>
              <w:right w:w="120" w:type="dxa"/>
            </w:tcMar>
            <w:vAlign w:val="center"/>
          </w:tcPr>
          <w:p w14:paraId="07D47193" w14:textId="77777777" w:rsidR="00B37128" w:rsidRDefault="00000000">
            <w:pPr>
              <w:pStyle w:val="MdTableCell"/>
            </w:pPr>
            <w:r>
              <w:rPr>
                <w:rStyle w:val="MdStrong"/>
              </w:rPr>
              <w:t>AML/CTF Act</w:t>
            </w:r>
          </w:p>
        </w:tc>
        <w:tc>
          <w:tcPr>
            <w:tcW w:w="0" w:type="auto"/>
            <w:tcMar>
              <w:top w:w="80" w:type="dxa"/>
              <w:left w:w="120" w:type="dxa"/>
              <w:bottom w:w="80" w:type="dxa"/>
              <w:right w:w="120" w:type="dxa"/>
            </w:tcMar>
            <w:vAlign w:val="center"/>
          </w:tcPr>
          <w:p w14:paraId="7C15B837" w14:textId="77777777" w:rsidR="00B37128" w:rsidRDefault="00000000">
            <w:pPr>
              <w:pStyle w:val="MdTableCell"/>
            </w:pPr>
            <w:r>
              <w:t>Anti-Money Laundering and Counter-Terrorism Financing Act 2006 (Cth)</w:t>
            </w:r>
          </w:p>
        </w:tc>
      </w:tr>
      <w:tr w:rsidR="00B37128" w14:paraId="3B1E9A29" w14:textId="77777777">
        <w:trPr>
          <w:cantSplit/>
          <w:trHeight w:val="576"/>
        </w:trPr>
        <w:tc>
          <w:tcPr>
            <w:tcW w:w="0" w:type="auto"/>
            <w:tcMar>
              <w:top w:w="80" w:type="dxa"/>
              <w:left w:w="120" w:type="dxa"/>
              <w:bottom w:w="80" w:type="dxa"/>
              <w:right w:w="120" w:type="dxa"/>
            </w:tcMar>
            <w:vAlign w:val="center"/>
          </w:tcPr>
          <w:p w14:paraId="55E22676" w14:textId="77777777" w:rsidR="00B37128" w:rsidRDefault="00000000">
            <w:pPr>
              <w:pStyle w:val="MdTableCell"/>
            </w:pPr>
            <w:r>
              <w:rPr>
                <w:rStyle w:val="MdStrong"/>
              </w:rPr>
              <w:t>AUSTRAC</w:t>
            </w:r>
          </w:p>
        </w:tc>
        <w:tc>
          <w:tcPr>
            <w:tcW w:w="0" w:type="auto"/>
            <w:tcMar>
              <w:top w:w="80" w:type="dxa"/>
              <w:left w:w="120" w:type="dxa"/>
              <w:bottom w:w="80" w:type="dxa"/>
              <w:right w:w="120" w:type="dxa"/>
            </w:tcMar>
            <w:vAlign w:val="center"/>
          </w:tcPr>
          <w:p w14:paraId="5FEA507C" w14:textId="77777777" w:rsidR="00B37128" w:rsidRDefault="00000000">
            <w:pPr>
              <w:pStyle w:val="MdTableCell"/>
            </w:pPr>
            <w:r>
              <w:t>Australian Transaction Reports and Analysis Centre</w:t>
            </w:r>
          </w:p>
        </w:tc>
      </w:tr>
      <w:tr w:rsidR="00B37128" w14:paraId="3A8217D7" w14:textId="77777777">
        <w:trPr>
          <w:cantSplit/>
          <w:trHeight w:val="576"/>
        </w:trPr>
        <w:tc>
          <w:tcPr>
            <w:tcW w:w="0" w:type="auto"/>
            <w:tcMar>
              <w:top w:w="80" w:type="dxa"/>
              <w:left w:w="120" w:type="dxa"/>
              <w:bottom w:w="80" w:type="dxa"/>
              <w:right w:w="120" w:type="dxa"/>
            </w:tcMar>
            <w:vAlign w:val="center"/>
          </w:tcPr>
          <w:p w14:paraId="200CED10" w14:textId="77777777" w:rsidR="00B37128" w:rsidRDefault="00000000">
            <w:pPr>
              <w:pStyle w:val="MdTableCell"/>
            </w:pPr>
            <w:r>
              <w:rPr>
                <w:rStyle w:val="MdStrong"/>
              </w:rPr>
              <w:t>Beneficial Owner</w:t>
            </w:r>
          </w:p>
        </w:tc>
        <w:tc>
          <w:tcPr>
            <w:tcW w:w="0" w:type="auto"/>
            <w:tcMar>
              <w:top w:w="80" w:type="dxa"/>
              <w:left w:w="120" w:type="dxa"/>
              <w:bottom w:w="80" w:type="dxa"/>
              <w:right w:w="120" w:type="dxa"/>
            </w:tcMar>
            <w:vAlign w:val="center"/>
          </w:tcPr>
          <w:p w14:paraId="2AEF544F" w14:textId="233E7085" w:rsidR="00B37128" w:rsidRDefault="00000000">
            <w:pPr>
              <w:pStyle w:val="MdTableCell"/>
            </w:pPr>
            <w:r>
              <w:t>Any natural person who directly or indirectly owns 25% or more of shares, voting rights, or beneficial interests, or exercises significant control</w:t>
            </w:r>
          </w:p>
        </w:tc>
      </w:tr>
      <w:tr w:rsidR="00B37128" w14:paraId="0A5614A4" w14:textId="77777777">
        <w:trPr>
          <w:cantSplit/>
          <w:trHeight w:val="576"/>
        </w:trPr>
        <w:tc>
          <w:tcPr>
            <w:tcW w:w="0" w:type="auto"/>
            <w:tcMar>
              <w:top w:w="80" w:type="dxa"/>
              <w:left w:w="120" w:type="dxa"/>
              <w:bottom w:w="80" w:type="dxa"/>
              <w:right w:w="120" w:type="dxa"/>
            </w:tcMar>
            <w:vAlign w:val="center"/>
          </w:tcPr>
          <w:p w14:paraId="2BD97557" w14:textId="77777777" w:rsidR="00B37128" w:rsidRDefault="00000000">
            <w:pPr>
              <w:pStyle w:val="MdTableCell"/>
            </w:pPr>
            <w:r>
              <w:rPr>
                <w:rStyle w:val="MdStrong"/>
              </w:rPr>
              <w:t>Business Client</w:t>
            </w:r>
          </w:p>
        </w:tc>
        <w:tc>
          <w:tcPr>
            <w:tcW w:w="0" w:type="auto"/>
            <w:tcMar>
              <w:top w:w="80" w:type="dxa"/>
              <w:left w:w="120" w:type="dxa"/>
              <w:bottom w:w="80" w:type="dxa"/>
              <w:right w:w="120" w:type="dxa"/>
            </w:tcMar>
            <w:vAlign w:val="center"/>
          </w:tcPr>
          <w:p w14:paraId="5077431A" w14:textId="77777777" w:rsidR="00B37128" w:rsidRDefault="00000000">
            <w:pPr>
              <w:pStyle w:val="MdTableCell"/>
            </w:pPr>
            <w:r>
              <w:t>Australian-domiciled legal entity engaged in commercial operations and meeting ELRC's client definition requirements</w:t>
            </w:r>
          </w:p>
        </w:tc>
      </w:tr>
      <w:tr w:rsidR="00B37128" w14:paraId="4CE0CE91" w14:textId="77777777">
        <w:trPr>
          <w:cantSplit/>
          <w:trHeight w:val="576"/>
        </w:trPr>
        <w:tc>
          <w:tcPr>
            <w:tcW w:w="0" w:type="auto"/>
            <w:tcMar>
              <w:top w:w="80" w:type="dxa"/>
              <w:left w:w="120" w:type="dxa"/>
              <w:bottom w:w="80" w:type="dxa"/>
              <w:right w:w="120" w:type="dxa"/>
            </w:tcMar>
            <w:vAlign w:val="center"/>
          </w:tcPr>
          <w:p w14:paraId="2362830A" w14:textId="77777777" w:rsidR="00B37128" w:rsidRDefault="00000000">
            <w:pPr>
              <w:pStyle w:val="MdTableCell"/>
            </w:pPr>
            <w:r>
              <w:rPr>
                <w:rStyle w:val="MdStrong"/>
              </w:rPr>
              <w:t>Customer Due Diligence (CDD)</w:t>
            </w:r>
          </w:p>
        </w:tc>
        <w:tc>
          <w:tcPr>
            <w:tcW w:w="0" w:type="auto"/>
            <w:tcMar>
              <w:top w:w="80" w:type="dxa"/>
              <w:left w:w="120" w:type="dxa"/>
              <w:bottom w:w="80" w:type="dxa"/>
              <w:right w:w="120" w:type="dxa"/>
            </w:tcMar>
            <w:vAlign w:val="center"/>
          </w:tcPr>
          <w:p w14:paraId="1549D799" w14:textId="77777777" w:rsidR="00B37128" w:rsidRDefault="00000000">
            <w:pPr>
              <w:pStyle w:val="MdTableCell"/>
            </w:pPr>
            <w:r>
              <w:t>Comprehensive collection and verification of customer information to assess ML/TF risk</w:t>
            </w:r>
          </w:p>
        </w:tc>
      </w:tr>
      <w:tr w:rsidR="00B37128" w14:paraId="4C7B01FA" w14:textId="77777777">
        <w:trPr>
          <w:cantSplit/>
          <w:trHeight w:val="576"/>
        </w:trPr>
        <w:tc>
          <w:tcPr>
            <w:tcW w:w="0" w:type="auto"/>
            <w:tcMar>
              <w:top w:w="80" w:type="dxa"/>
              <w:left w:w="120" w:type="dxa"/>
              <w:bottom w:w="80" w:type="dxa"/>
              <w:right w:w="120" w:type="dxa"/>
            </w:tcMar>
            <w:vAlign w:val="center"/>
          </w:tcPr>
          <w:p w14:paraId="67615D2D" w14:textId="77777777" w:rsidR="00B37128" w:rsidRDefault="00000000">
            <w:pPr>
              <w:pStyle w:val="MdTableCell"/>
            </w:pPr>
            <w:r>
              <w:rPr>
                <w:rStyle w:val="MdStrong"/>
              </w:rPr>
              <w:t>Customer Identification Procedure (CIP)</w:t>
            </w:r>
          </w:p>
        </w:tc>
        <w:tc>
          <w:tcPr>
            <w:tcW w:w="0" w:type="auto"/>
            <w:tcMar>
              <w:top w:w="80" w:type="dxa"/>
              <w:left w:w="120" w:type="dxa"/>
              <w:bottom w:w="80" w:type="dxa"/>
              <w:right w:w="120" w:type="dxa"/>
            </w:tcMar>
            <w:vAlign w:val="center"/>
          </w:tcPr>
          <w:p w14:paraId="1D4072A6" w14:textId="77777777" w:rsidR="00B37128" w:rsidRDefault="00000000">
            <w:pPr>
              <w:pStyle w:val="MdTableCell"/>
            </w:pPr>
            <w:r>
              <w:t>Collection of customer identifying information and verification of identity</w:t>
            </w:r>
          </w:p>
        </w:tc>
      </w:tr>
      <w:tr w:rsidR="00B37128" w14:paraId="2F61FBDD" w14:textId="77777777">
        <w:trPr>
          <w:cantSplit/>
          <w:trHeight w:val="576"/>
        </w:trPr>
        <w:tc>
          <w:tcPr>
            <w:tcW w:w="0" w:type="auto"/>
            <w:tcMar>
              <w:top w:w="80" w:type="dxa"/>
              <w:left w:w="120" w:type="dxa"/>
              <w:bottom w:w="80" w:type="dxa"/>
              <w:right w:w="120" w:type="dxa"/>
            </w:tcMar>
            <w:vAlign w:val="center"/>
          </w:tcPr>
          <w:p w14:paraId="2607AC16" w14:textId="77777777" w:rsidR="00B37128" w:rsidRDefault="00000000">
            <w:pPr>
              <w:pStyle w:val="MdTableCell"/>
            </w:pPr>
            <w:r>
              <w:rPr>
                <w:rStyle w:val="MdStrong"/>
              </w:rPr>
              <w:t>Enhanced Due Diligence (EDD)</w:t>
            </w:r>
          </w:p>
        </w:tc>
        <w:tc>
          <w:tcPr>
            <w:tcW w:w="0" w:type="auto"/>
            <w:tcMar>
              <w:top w:w="80" w:type="dxa"/>
              <w:left w:w="120" w:type="dxa"/>
              <w:bottom w:w="80" w:type="dxa"/>
              <w:right w:w="120" w:type="dxa"/>
            </w:tcMar>
            <w:vAlign w:val="center"/>
          </w:tcPr>
          <w:p w14:paraId="0F61A0C9" w14:textId="77777777" w:rsidR="00B37128" w:rsidRDefault="00000000">
            <w:pPr>
              <w:pStyle w:val="MdTableCell"/>
            </w:pPr>
            <w:r>
              <w:t>Heightened CDD procedures for higher-risk clients and transactions</w:t>
            </w:r>
          </w:p>
        </w:tc>
      </w:tr>
      <w:tr w:rsidR="00B37128" w14:paraId="2A87BA08" w14:textId="77777777">
        <w:trPr>
          <w:cantSplit/>
          <w:trHeight w:val="576"/>
        </w:trPr>
        <w:tc>
          <w:tcPr>
            <w:tcW w:w="0" w:type="auto"/>
            <w:tcMar>
              <w:top w:w="80" w:type="dxa"/>
              <w:left w:w="120" w:type="dxa"/>
              <w:bottom w:w="80" w:type="dxa"/>
              <w:right w:w="120" w:type="dxa"/>
            </w:tcMar>
            <w:vAlign w:val="center"/>
          </w:tcPr>
          <w:p w14:paraId="6BC58A81" w14:textId="77777777" w:rsidR="00B37128" w:rsidRDefault="00000000">
            <w:pPr>
              <w:pStyle w:val="MdTableCell"/>
            </w:pPr>
            <w:r>
              <w:rPr>
                <w:rStyle w:val="MdStrong"/>
              </w:rPr>
              <w:t>PEP</w:t>
            </w:r>
          </w:p>
        </w:tc>
        <w:tc>
          <w:tcPr>
            <w:tcW w:w="0" w:type="auto"/>
            <w:tcMar>
              <w:top w:w="80" w:type="dxa"/>
              <w:left w:w="120" w:type="dxa"/>
              <w:bottom w:w="80" w:type="dxa"/>
              <w:right w:w="120" w:type="dxa"/>
            </w:tcMar>
            <w:vAlign w:val="center"/>
          </w:tcPr>
          <w:p w14:paraId="145F63E3" w14:textId="77777777" w:rsidR="00B37128" w:rsidRDefault="00000000">
            <w:pPr>
              <w:pStyle w:val="MdTableCell"/>
            </w:pPr>
            <w:r>
              <w:t>Politically Exposed Person holding or having held prominent public position</w:t>
            </w:r>
          </w:p>
        </w:tc>
      </w:tr>
      <w:tr w:rsidR="00B37128" w14:paraId="10414C52" w14:textId="77777777">
        <w:trPr>
          <w:cantSplit/>
          <w:trHeight w:val="576"/>
        </w:trPr>
        <w:tc>
          <w:tcPr>
            <w:tcW w:w="0" w:type="auto"/>
            <w:tcMar>
              <w:top w:w="80" w:type="dxa"/>
              <w:left w:w="120" w:type="dxa"/>
              <w:bottom w:w="80" w:type="dxa"/>
              <w:right w:w="120" w:type="dxa"/>
            </w:tcMar>
            <w:vAlign w:val="center"/>
          </w:tcPr>
          <w:p w14:paraId="33F89215" w14:textId="77777777" w:rsidR="00B37128" w:rsidRDefault="00000000">
            <w:pPr>
              <w:pStyle w:val="MdTableCell"/>
            </w:pPr>
            <w:r>
              <w:rPr>
                <w:rStyle w:val="MdStrong"/>
              </w:rPr>
              <w:t>Reporting Entity</w:t>
            </w:r>
          </w:p>
        </w:tc>
        <w:tc>
          <w:tcPr>
            <w:tcW w:w="0" w:type="auto"/>
            <w:tcMar>
              <w:top w:w="80" w:type="dxa"/>
              <w:left w:w="120" w:type="dxa"/>
              <w:bottom w:w="80" w:type="dxa"/>
              <w:right w:w="120" w:type="dxa"/>
            </w:tcMar>
            <w:vAlign w:val="center"/>
          </w:tcPr>
          <w:p w14:paraId="62090CEA" w14:textId="77777777" w:rsidR="00B37128" w:rsidRDefault="00000000">
            <w:pPr>
              <w:pStyle w:val="MdTableCell"/>
            </w:pPr>
            <w:r>
              <w:t>Financial institution subject to AML/CTF Act reporting obligations</w:t>
            </w:r>
          </w:p>
        </w:tc>
      </w:tr>
      <w:tr w:rsidR="00B37128" w14:paraId="286B04A4" w14:textId="77777777">
        <w:trPr>
          <w:cantSplit/>
          <w:trHeight w:val="576"/>
        </w:trPr>
        <w:tc>
          <w:tcPr>
            <w:tcW w:w="0" w:type="auto"/>
            <w:tcMar>
              <w:top w:w="80" w:type="dxa"/>
              <w:left w:w="120" w:type="dxa"/>
              <w:bottom w:w="80" w:type="dxa"/>
              <w:right w:w="120" w:type="dxa"/>
            </w:tcMar>
            <w:vAlign w:val="center"/>
          </w:tcPr>
          <w:p w14:paraId="34199B10" w14:textId="7C65B4ED" w:rsidR="00B37128" w:rsidRDefault="00000000">
            <w:pPr>
              <w:pStyle w:val="MdTableCell"/>
            </w:pPr>
            <w:r>
              <w:rPr>
                <w:rStyle w:val="MdStrong"/>
              </w:rPr>
              <w:t>SMR</w:t>
            </w:r>
          </w:p>
        </w:tc>
        <w:tc>
          <w:tcPr>
            <w:tcW w:w="0" w:type="auto"/>
            <w:tcMar>
              <w:top w:w="80" w:type="dxa"/>
              <w:left w:w="120" w:type="dxa"/>
              <w:bottom w:w="80" w:type="dxa"/>
              <w:right w:w="120" w:type="dxa"/>
            </w:tcMar>
            <w:vAlign w:val="center"/>
          </w:tcPr>
          <w:p w14:paraId="555E9445" w14:textId="216804AC" w:rsidR="00B37128" w:rsidRDefault="00000000">
            <w:pPr>
              <w:pStyle w:val="MdTableCell"/>
            </w:pPr>
            <w:r>
              <w:t>Suspicious Matter Report required to be filed with AUSTRAC</w:t>
            </w:r>
          </w:p>
        </w:tc>
      </w:tr>
      <w:tr w:rsidR="00B37128" w14:paraId="1F6B0EB7" w14:textId="77777777">
        <w:trPr>
          <w:cantSplit/>
          <w:trHeight w:val="576"/>
        </w:trPr>
        <w:tc>
          <w:tcPr>
            <w:tcW w:w="0" w:type="auto"/>
            <w:tcBorders>
              <w:bottom w:val="single" w:sz="4" w:space="0" w:color="E1E4E8"/>
            </w:tcBorders>
            <w:tcMar>
              <w:top w:w="80" w:type="dxa"/>
              <w:left w:w="120" w:type="dxa"/>
              <w:bottom w:w="80" w:type="dxa"/>
              <w:right w:w="120" w:type="dxa"/>
            </w:tcMar>
            <w:vAlign w:val="center"/>
          </w:tcPr>
          <w:p w14:paraId="2C9DDECC" w14:textId="77777777" w:rsidR="00B37128" w:rsidRDefault="00000000">
            <w:pPr>
              <w:pStyle w:val="MdTableCell"/>
            </w:pPr>
            <w:r>
              <w:rPr>
                <w:rStyle w:val="MdStrong"/>
              </w:rPr>
              <w:t>Third-Party Tool</w:t>
            </w:r>
          </w:p>
        </w:tc>
        <w:tc>
          <w:tcPr>
            <w:tcW w:w="0" w:type="auto"/>
            <w:tcBorders>
              <w:bottom w:val="single" w:sz="4" w:space="0" w:color="E1E4E8"/>
            </w:tcBorders>
            <w:tcMar>
              <w:top w:w="80" w:type="dxa"/>
              <w:left w:w="120" w:type="dxa"/>
              <w:bottom w:w="80" w:type="dxa"/>
              <w:right w:w="120" w:type="dxa"/>
            </w:tcMar>
            <w:vAlign w:val="center"/>
          </w:tcPr>
          <w:p w14:paraId="3F78FC12" w14:textId="77777777" w:rsidR="00B37128" w:rsidRDefault="00000000">
            <w:pPr>
              <w:pStyle w:val="MdTableCell"/>
            </w:pPr>
            <w:r>
              <w:t>Professional, third-party sanctions screening software or service used to identify clients against international sanctions lists</w:t>
            </w:r>
          </w:p>
        </w:tc>
      </w:tr>
    </w:tbl>
    <w:p w14:paraId="69204397" w14:textId="77777777" w:rsidR="00B37128" w:rsidRDefault="00B37128">
      <w:pPr>
        <w:pStyle w:val="MdHr"/>
        <w:pBdr>
          <w:bottom w:val="single" w:sz="6" w:space="1" w:color="auto"/>
        </w:pBdr>
      </w:pPr>
    </w:p>
    <w:p w14:paraId="15CDF224" w14:textId="77777777" w:rsidR="00B37128" w:rsidRDefault="00B37128">
      <w:pPr>
        <w:pStyle w:val="MdSpace"/>
        <w:spacing w:after="60"/>
      </w:pPr>
    </w:p>
    <w:p w14:paraId="5B67E3C2" w14:textId="77777777" w:rsidR="00B37128" w:rsidRDefault="00B37128">
      <w:pPr>
        <w:pStyle w:val="MdSpace"/>
        <w:spacing w:after="60"/>
      </w:pPr>
    </w:p>
    <w:p w14:paraId="3B99627E" w14:textId="77777777" w:rsidR="00B37128" w:rsidRDefault="00000000">
      <w:pPr>
        <w:pStyle w:val="MdHeading2"/>
      </w:pPr>
      <w:r>
        <w:t>References</w:t>
      </w:r>
    </w:p>
    <w:p w14:paraId="06644D86" w14:textId="77777777" w:rsidR="00B37128" w:rsidRDefault="00B37128">
      <w:pPr>
        <w:pStyle w:val="MdHr"/>
        <w:pBdr>
          <w:bottom w:val="single" w:sz="6" w:space="1" w:color="auto"/>
        </w:pBdr>
      </w:pPr>
    </w:p>
    <w:p w14:paraId="50FEC7AC" w14:textId="77777777" w:rsidR="00B37128" w:rsidRDefault="00B37128">
      <w:pPr>
        <w:pStyle w:val="MdSpace"/>
        <w:spacing w:after="60"/>
      </w:pPr>
    </w:p>
    <w:p w14:paraId="593F01F3" w14:textId="77777777" w:rsidR="00B37128" w:rsidRDefault="00000000">
      <w:pPr>
        <w:pStyle w:val="MdParagraph"/>
      </w:pPr>
      <w:r>
        <w:rPr>
          <w:rStyle w:val="MdEm"/>
        </w:rPr>
        <w:t>This policy is subject to updates and amendments as required by law or internal governance. All staff shall comply with the latest version of this policy.</w:t>
      </w:r>
    </w:p>
    <w:p w14:paraId="613AB9C4" w14:textId="77777777" w:rsidR="00B37128" w:rsidRDefault="00B37128">
      <w:pPr>
        <w:pStyle w:val="MdSpace"/>
        <w:spacing w:after="60"/>
      </w:pPr>
    </w:p>
    <w:p w14:paraId="24F58306" w14:textId="77777777" w:rsidR="00B37128" w:rsidRDefault="00000000">
      <w:pPr>
        <w:pStyle w:val="MdParagraph"/>
      </w:pPr>
      <w:r>
        <w:rPr>
          <w:rStyle w:val="MdEm"/>
        </w:rPr>
        <w:t>Compliance with this policy is mandatory for all ELRC staff, clients, and service providers.</w:t>
      </w:r>
    </w:p>
    <w:p w14:paraId="79B04974" w14:textId="77777777" w:rsidR="00B37128" w:rsidRDefault="00B37128">
      <w:pPr>
        <w:pStyle w:val="MdSpace"/>
        <w:spacing w:after="60"/>
      </w:pPr>
    </w:p>
    <w:p w14:paraId="7AFEE3E5" w14:textId="77777777" w:rsidR="00B37128" w:rsidRDefault="00B37128">
      <w:pPr>
        <w:pStyle w:val="MdHr"/>
        <w:pBdr>
          <w:bottom w:val="single" w:sz="6" w:space="1" w:color="auto"/>
        </w:pBdr>
      </w:pPr>
    </w:p>
    <w:p w14:paraId="1F79B2AB" w14:textId="77777777" w:rsidR="00B37128" w:rsidRDefault="00B37128">
      <w:pPr>
        <w:pStyle w:val="MdSpace"/>
        <w:spacing w:after="60"/>
      </w:pPr>
    </w:p>
    <w:p w14:paraId="1AC801F2" w14:textId="77777777" w:rsidR="00B37128" w:rsidRDefault="00000000">
      <w:pPr>
        <w:pStyle w:val="MdParagraph"/>
      </w:pPr>
      <w:r>
        <w:rPr>
          <w:rStyle w:val="MdStrong"/>
        </w:rPr>
        <w:t>Document prepared by</w:t>
      </w:r>
      <w:r>
        <w:t>: ELRC TRADING Pty Ltd Compliance Department</w:t>
      </w:r>
    </w:p>
    <w:p w14:paraId="05FF60C2" w14:textId="77777777" w:rsidR="00B37128" w:rsidRDefault="00B37128">
      <w:pPr>
        <w:pStyle w:val="MdSpace"/>
        <w:spacing w:after="60"/>
      </w:pPr>
    </w:p>
    <w:p w14:paraId="2B7D65EA" w14:textId="16E9F9D5" w:rsidR="008918F3" w:rsidRDefault="008918F3" w:rsidP="008918F3">
      <w:pPr>
        <w:pStyle w:val="MdSpace"/>
        <w:spacing w:after="60"/>
        <w:rPr>
          <w:b/>
          <w:bCs/>
          <w:sz w:val="24"/>
          <w:szCs w:val="24"/>
        </w:rPr>
      </w:pPr>
      <w:r>
        <w:rPr>
          <w:b/>
          <w:bCs/>
          <w:sz w:val="24"/>
          <w:szCs w:val="24"/>
        </w:rPr>
        <w:t>Document Version: v</w:t>
      </w:r>
      <w:r w:rsidR="00A95C47">
        <w:rPr>
          <w:b/>
          <w:bCs/>
          <w:sz w:val="24"/>
          <w:szCs w:val="24"/>
        </w:rPr>
        <w:t>1</w:t>
      </w:r>
      <w:r>
        <w:rPr>
          <w:b/>
          <w:bCs/>
          <w:sz w:val="24"/>
          <w:szCs w:val="24"/>
        </w:rPr>
        <w:t xml:space="preserve">.0 </w:t>
      </w:r>
    </w:p>
    <w:p w14:paraId="04BB94CF" w14:textId="77777777" w:rsidR="008918F3" w:rsidRDefault="008918F3" w:rsidP="008918F3">
      <w:pPr>
        <w:pStyle w:val="MdSpace"/>
        <w:spacing w:after="60"/>
        <w:rPr>
          <w:b/>
          <w:bCs/>
          <w:sz w:val="24"/>
          <w:szCs w:val="24"/>
        </w:rPr>
      </w:pPr>
      <w:r>
        <w:rPr>
          <w:b/>
          <w:bCs/>
          <w:sz w:val="24"/>
          <w:szCs w:val="24"/>
        </w:rPr>
        <w:t xml:space="preserve">Last Updated: 01 February 2026 </w:t>
      </w:r>
    </w:p>
    <w:p w14:paraId="2B4871A9" w14:textId="77777777" w:rsidR="008918F3" w:rsidRDefault="008918F3" w:rsidP="008918F3">
      <w:pPr>
        <w:pStyle w:val="MdSpace"/>
        <w:spacing w:after="60"/>
        <w:rPr>
          <w:b/>
          <w:bCs/>
          <w:sz w:val="24"/>
          <w:szCs w:val="24"/>
        </w:rPr>
      </w:pPr>
      <w:r>
        <w:rPr>
          <w:b/>
          <w:bCs/>
          <w:sz w:val="24"/>
          <w:szCs w:val="24"/>
        </w:rPr>
        <w:t xml:space="preserve">Effective Date: 01 February 2026 </w:t>
      </w:r>
    </w:p>
    <w:p w14:paraId="153D3D89" w14:textId="77777777" w:rsidR="008918F3" w:rsidRPr="000F460E" w:rsidRDefault="008918F3" w:rsidP="008918F3">
      <w:pPr>
        <w:pStyle w:val="MdSpace"/>
        <w:spacing w:after="60"/>
      </w:pPr>
      <w:r>
        <w:rPr>
          <w:b/>
          <w:bCs/>
          <w:sz w:val="24"/>
          <w:szCs w:val="24"/>
        </w:rPr>
        <w:t>Effective Period: Until further notice</w:t>
      </w:r>
    </w:p>
    <w:p w14:paraId="5697A525" w14:textId="1D0B95A1" w:rsidR="00B37128" w:rsidRPr="008918F3" w:rsidRDefault="00B37128">
      <w:pPr>
        <w:pStyle w:val="MdParagraph"/>
      </w:pPr>
    </w:p>
    <w:sectPr w:rsidR="00B37128" w:rsidRPr="008918F3">
      <w:headerReference w:type="default" r:id="rId7"/>
      <w:footerReference w:type="even"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8D17F" w14:textId="77777777" w:rsidR="004F46C8" w:rsidRDefault="004F46C8" w:rsidP="00EB7E0B">
      <w:r>
        <w:separator/>
      </w:r>
    </w:p>
  </w:endnote>
  <w:endnote w:type="continuationSeparator" w:id="0">
    <w:p w14:paraId="6E985238" w14:textId="77777777" w:rsidR="004F46C8" w:rsidRDefault="004F46C8" w:rsidP="00EB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enlo">
    <w:panose1 w:val="020B0609030804020204"/>
    <w:charset w:val="00"/>
    <w:family w:val="modern"/>
    <w:pitch w:val="fixed"/>
    <w:sig w:usb0="E60022FF" w:usb1="D200F9FB" w:usb2="02000028" w:usb3="00000000" w:csb0="000001D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434173035"/>
      <w:docPartObj>
        <w:docPartGallery w:val="Page Numbers (Bottom of Page)"/>
        <w:docPartUnique/>
      </w:docPartObj>
    </w:sdtPr>
    <w:sdtContent>
      <w:p w14:paraId="2EFE9704" w14:textId="6E675337" w:rsidR="00EB7E0B" w:rsidRDefault="00EB7E0B" w:rsidP="003F7064">
        <w:pPr>
          <w:pStyle w:val="ac"/>
          <w:framePr w:wrap="none" w:vAnchor="text" w:hAnchor="margin" w:xAlign="right" w:y="1"/>
          <w:rPr>
            <w:rStyle w:val="ae"/>
          </w:rPr>
        </w:pPr>
        <w:r>
          <w:rPr>
            <w:rStyle w:val="ae"/>
          </w:rPr>
          <w:fldChar w:fldCharType="begin"/>
        </w:r>
        <w:r>
          <w:rPr>
            <w:rStyle w:val="ae"/>
          </w:rPr>
          <w:instrText xml:space="preserve"> PAGE </w:instrText>
        </w:r>
        <w:r>
          <w:rPr>
            <w:rStyle w:val="ae"/>
          </w:rPr>
          <w:fldChar w:fldCharType="separate"/>
        </w:r>
        <w:r>
          <w:rPr>
            <w:rStyle w:val="ae"/>
          </w:rPr>
          <w:fldChar w:fldCharType="end"/>
        </w:r>
      </w:p>
    </w:sdtContent>
  </w:sdt>
  <w:p w14:paraId="13847AFA" w14:textId="77777777" w:rsidR="00EB7E0B" w:rsidRDefault="00EB7E0B" w:rsidP="00EB7E0B">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1733293922"/>
      <w:docPartObj>
        <w:docPartGallery w:val="Page Numbers (Bottom of Page)"/>
        <w:docPartUnique/>
      </w:docPartObj>
    </w:sdtPr>
    <w:sdtContent>
      <w:p w14:paraId="0C3E18B4" w14:textId="6D12E541" w:rsidR="00EB7E0B" w:rsidRDefault="00EB7E0B" w:rsidP="003F7064">
        <w:pPr>
          <w:pStyle w:val="ac"/>
          <w:framePr w:wrap="none" w:vAnchor="text" w:hAnchor="margin" w:xAlign="right" w:y="1"/>
          <w:rPr>
            <w:rStyle w:val="ae"/>
          </w:rPr>
        </w:pPr>
        <w:r>
          <w:rPr>
            <w:rStyle w:val="ae"/>
          </w:rPr>
          <w:fldChar w:fldCharType="begin"/>
        </w:r>
        <w:r>
          <w:rPr>
            <w:rStyle w:val="ae"/>
          </w:rPr>
          <w:instrText xml:space="preserve"> PAGE </w:instrText>
        </w:r>
        <w:r>
          <w:rPr>
            <w:rStyle w:val="ae"/>
          </w:rPr>
          <w:fldChar w:fldCharType="separate"/>
        </w:r>
        <w:r>
          <w:rPr>
            <w:rStyle w:val="ae"/>
            <w:noProof/>
          </w:rPr>
          <w:t>1</w:t>
        </w:r>
        <w:r>
          <w:rPr>
            <w:rStyle w:val="ae"/>
          </w:rPr>
          <w:fldChar w:fldCharType="end"/>
        </w:r>
      </w:p>
    </w:sdtContent>
  </w:sdt>
  <w:p w14:paraId="24B66354" w14:textId="246A2A1A" w:rsidR="00EB7E0B" w:rsidRDefault="00EB7E0B" w:rsidP="00EB7E0B">
    <w:pPr>
      <w:pStyle w:val="ac"/>
      <w:ind w:right="360"/>
    </w:pPr>
    <w:r w:rsidRPr="00EB7E0B">
      <w:t>© 2026 ELRC TRADING Pty Ltd. All rights reserved. | www.elrctrading.com |</w:t>
    </w:r>
  </w:p>
  <w:p w14:paraId="15080845" w14:textId="77777777" w:rsidR="00EB7E0B" w:rsidRDefault="00EB7E0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6B074" w14:textId="77777777" w:rsidR="004F46C8" w:rsidRDefault="004F46C8" w:rsidP="00EB7E0B">
      <w:r>
        <w:separator/>
      </w:r>
    </w:p>
  </w:footnote>
  <w:footnote w:type="continuationSeparator" w:id="0">
    <w:p w14:paraId="2686A0FF" w14:textId="77777777" w:rsidR="004F46C8" w:rsidRDefault="004F46C8" w:rsidP="00EB7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4B253" w14:textId="270CD302" w:rsidR="00EB7E0B" w:rsidRPr="00EB7E0B" w:rsidRDefault="00EB7E0B" w:rsidP="00EB7E0B">
    <w:pPr>
      <w:pStyle w:val="aa"/>
      <w:jc w:val="left"/>
      <w:rPr>
        <w:lang w:val="en-AU"/>
      </w:rPr>
    </w:pPr>
    <w:r w:rsidRPr="00EB7E0B">
      <w:t>ELRC TRADING Pty Ltd (ACN: 686 501 995) | AML Policy and Sanctions Screening Procedure | Version: v</w:t>
    </w:r>
    <w:r w:rsidR="00125670">
      <w:t>1</w:t>
    </w:r>
    <w:r w:rsidRPr="00EB7E0B">
      <w:t>.0 | Effective: 01 February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F28"/>
    <w:multiLevelType w:val="multilevel"/>
    <w:tmpl w:val="F4AAE408"/>
    <w:lvl w:ilvl="0">
      <w:start w:val="1"/>
      <w:numFmt w:val="lowerLetter"/>
      <w:lvlText w:val="%1)"/>
      <w:lvlJc w:val="left"/>
      <w:pPr>
        <w:ind w:left="800" w:hanging="44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BBA0161"/>
    <w:multiLevelType w:val="hybridMultilevel"/>
    <w:tmpl w:val="B442E2AC"/>
    <w:lvl w:ilvl="0" w:tplc="A6EE7FC4">
      <w:start w:val="1"/>
      <w:numFmt w:val="bullet"/>
      <w:lvlText w:val="•"/>
      <w:lvlJc w:val="left"/>
      <w:pPr>
        <w:ind w:left="720" w:hanging="360"/>
      </w:pPr>
    </w:lvl>
    <w:lvl w:ilvl="1" w:tplc="0409000F">
      <w:start w:val="1"/>
      <w:numFmt w:val="decimal"/>
      <w:lvlText w:val="%2."/>
      <w:lvlJc w:val="left"/>
      <w:pPr>
        <w:ind w:left="1520" w:hanging="440"/>
      </w:pPr>
    </w:lvl>
    <w:lvl w:ilvl="2" w:tplc="81204332">
      <w:start w:val="1"/>
      <w:numFmt w:val="bullet"/>
      <w:lvlText w:val="•"/>
      <w:lvlJc w:val="left"/>
      <w:pPr>
        <w:ind w:left="2160" w:hanging="360"/>
      </w:pPr>
    </w:lvl>
    <w:lvl w:ilvl="3" w:tplc="4790C208">
      <w:start w:val="1"/>
      <w:numFmt w:val="bullet"/>
      <w:lvlText w:val="◦"/>
      <w:lvlJc w:val="left"/>
      <w:pPr>
        <w:ind w:left="2880" w:hanging="360"/>
      </w:pPr>
    </w:lvl>
    <w:lvl w:ilvl="4" w:tplc="397CC3E6">
      <w:start w:val="1"/>
      <w:numFmt w:val="bullet"/>
      <w:lvlText w:val="•"/>
      <w:lvlJc w:val="left"/>
      <w:pPr>
        <w:ind w:left="3600" w:hanging="360"/>
      </w:pPr>
    </w:lvl>
    <w:lvl w:ilvl="5" w:tplc="FB4C27A6">
      <w:start w:val="1"/>
      <w:numFmt w:val="bullet"/>
      <w:lvlText w:val="◦"/>
      <w:lvlJc w:val="left"/>
      <w:pPr>
        <w:ind w:left="4320" w:hanging="360"/>
      </w:pPr>
    </w:lvl>
    <w:lvl w:ilvl="6" w:tplc="7BE20680">
      <w:start w:val="1"/>
      <w:numFmt w:val="bullet"/>
      <w:lvlText w:val="•"/>
      <w:lvlJc w:val="left"/>
      <w:pPr>
        <w:ind w:left="5040" w:hanging="360"/>
      </w:pPr>
    </w:lvl>
    <w:lvl w:ilvl="7" w:tplc="E1262AF2">
      <w:numFmt w:val="decimal"/>
      <w:lvlText w:val=""/>
      <w:lvlJc w:val="left"/>
    </w:lvl>
    <w:lvl w:ilvl="8" w:tplc="CAA46CA2">
      <w:numFmt w:val="decimal"/>
      <w:lvlText w:val=""/>
      <w:lvlJc w:val="left"/>
    </w:lvl>
  </w:abstractNum>
  <w:abstractNum w:abstractNumId="2" w15:restartNumberingAfterBreak="0">
    <w:nsid w:val="0F683A0C"/>
    <w:multiLevelType w:val="multilevel"/>
    <w:tmpl w:val="2EC4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7C1764"/>
    <w:multiLevelType w:val="multilevel"/>
    <w:tmpl w:val="F4AAE408"/>
    <w:lvl w:ilvl="0">
      <w:start w:val="1"/>
      <w:numFmt w:val="lowerLetter"/>
      <w:lvlText w:val="%1)"/>
      <w:lvlJc w:val="left"/>
      <w:pPr>
        <w:ind w:left="800" w:hanging="44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7454724"/>
    <w:multiLevelType w:val="multilevel"/>
    <w:tmpl w:val="F4AAE408"/>
    <w:lvl w:ilvl="0">
      <w:start w:val="1"/>
      <w:numFmt w:val="lowerLetter"/>
      <w:lvlText w:val="%1)"/>
      <w:lvlJc w:val="left"/>
      <w:pPr>
        <w:ind w:left="800" w:hanging="44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9600AFF"/>
    <w:multiLevelType w:val="hybridMultilevel"/>
    <w:tmpl w:val="FBE63434"/>
    <w:lvl w:ilvl="0" w:tplc="04090019">
      <w:start w:val="1"/>
      <w:numFmt w:val="lowerLetter"/>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6" w15:restartNumberingAfterBreak="0">
    <w:nsid w:val="297E08D9"/>
    <w:multiLevelType w:val="multilevel"/>
    <w:tmpl w:val="2F90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93200"/>
    <w:multiLevelType w:val="multilevel"/>
    <w:tmpl w:val="F4AAE408"/>
    <w:lvl w:ilvl="0">
      <w:start w:val="1"/>
      <w:numFmt w:val="lowerLetter"/>
      <w:lvlText w:val="%1)"/>
      <w:lvlJc w:val="left"/>
      <w:pPr>
        <w:ind w:left="800" w:hanging="44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4FF6B2F"/>
    <w:multiLevelType w:val="hybridMultilevel"/>
    <w:tmpl w:val="0E46F422"/>
    <w:lvl w:ilvl="0" w:tplc="04090019">
      <w:start w:val="1"/>
      <w:numFmt w:val="lowerLetter"/>
      <w:lvlText w:val="%1)"/>
      <w:lvlJc w:val="left"/>
      <w:pPr>
        <w:ind w:left="800" w:hanging="440"/>
      </w:p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numFmt w:val="decimal"/>
      <w:lvlText w:val=""/>
      <w:lvlJc w:val="left"/>
    </w:lvl>
    <w:lvl w:ilvl="8" w:tplc="FFFFFFFF">
      <w:numFmt w:val="decimal"/>
      <w:lvlText w:val=""/>
      <w:lvlJc w:val="left"/>
    </w:lvl>
  </w:abstractNum>
  <w:abstractNum w:abstractNumId="9" w15:restartNumberingAfterBreak="0">
    <w:nsid w:val="39B0452E"/>
    <w:multiLevelType w:val="multilevel"/>
    <w:tmpl w:val="F4AAE408"/>
    <w:lvl w:ilvl="0">
      <w:start w:val="1"/>
      <w:numFmt w:val="lowerLetter"/>
      <w:lvlText w:val="%1)"/>
      <w:lvlJc w:val="left"/>
      <w:pPr>
        <w:ind w:left="800" w:hanging="44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3A493124"/>
    <w:multiLevelType w:val="hybridMultilevel"/>
    <w:tmpl w:val="C2722262"/>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3CAC441F"/>
    <w:multiLevelType w:val="multilevel"/>
    <w:tmpl w:val="F4AAE408"/>
    <w:lvl w:ilvl="0">
      <w:start w:val="1"/>
      <w:numFmt w:val="lowerLetter"/>
      <w:lvlText w:val="%1)"/>
      <w:lvlJc w:val="left"/>
      <w:pPr>
        <w:ind w:left="800" w:hanging="44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40287FF8"/>
    <w:multiLevelType w:val="hybridMultilevel"/>
    <w:tmpl w:val="3E4A13C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421D0702"/>
    <w:multiLevelType w:val="hybridMultilevel"/>
    <w:tmpl w:val="3E781136"/>
    <w:lvl w:ilvl="0" w:tplc="FFFFFFFF">
      <w:start w:val="1"/>
      <w:numFmt w:val="bullet"/>
      <w:lvlText w:val="•"/>
      <w:lvlJc w:val="left"/>
      <w:pPr>
        <w:ind w:left="720" w:hanging="360"/>
      </w:pPr>
    </w:lvl>
    <w:lvl w:ilvl="1" w:tplc="04090019">
      <w:start w:val="1"/>
      <w:numFmt w:val="lowerLetter"/>
      <w:lvlText w:val="%2)"/>
      <w:lvlJc w:val="left"/>
      <w:pPr>
        <w:ind w:left="800" w:hanging="44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numFmt w:val="decimal"/>
      <w:lvlText w:val=""/>
      <w:lvlJc w:val="left"/>
    </w:lvl>
    <w:lvl w:ilvl="8" w:tplc="FFFFFFFF">
      <w:numFmt w:val="decimal"/>
      <w:lvlText w:val=""/>
      <w:lvlJc w:val="left"/>
    </w:lvl>
  </w:abstractNum>
  <w:abstractNum w:abstractNumId="14" w15:restartNumberingAfterBreak="0">
    <w:nsid w:val="4A8E610B"/>
    <w:multiLevelType w:val="hybridMultilevel"/>
    <w:tmpl w:val="6FC20112"/>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4E5F5FCB"/>
    <w:multiLevelType w:val="hybridMultilevel"/>
    <w:tmpl w:val="975C2366"/>
    <w:lvl w:ilvl="0" w:tplc="4FF83F24">
      <w:start w:val="1"/>
      <w:numFmt w:val="bullet"/>
      <w:lvlText w:val="•"/>
      <w:lvlJc w:val="left"/>
      <w:pPr>
        <w:ind w:left="720" w:hanging="360"/>
      </w:pPr>
    </w:lvl>
    <w:lvl w:ilvl="1" w:tplc="B2C82BAC">
      <w:start w:val="1"/>
      <w:numFmt w:val="bullet"/>
      <w:lvlText w:val="◦"/>
      <w:lvlJc w:val="left"/>
      <w:pPr>
        <w:ind w:left="1440" w:hanging="360"/>
      </w:pPr>
    </w:lvl>
    <w:lvl w:ilvl="2" w:tplc="F196C8D2">
      <w:start w:val="1"/>
      <w:numFmt w:val="bullet"/>
      <w:lvlText w:val="•"/>
      <w:lvlJc w:val="left"/>
      <w:pPr>
        <w:ind w:left="2160" w:hanging="360"/>
      </w:pPr>
    </w:lvl>
    <w:lvl w:ilvl="3" w:tplc="A12458E8">
      <w:start w:val="1"/>
      <w:numFmt w:val="bullet"/>
      <w:lvlText w:val="◦"/>
      <w:lvlJc w:val="left"/>
      <w:pPr>
        <w:ind w:left="2880" w:hanging="360"/>
      </w:pPr>
    </w:lvl>
    <w:lvl w:ilvl="4" w:tplc="32543DD2">
      <w:start w:val="1"/>
      <w:numFmt w:val="bullet"/>
      <w:lvlText w:val="•"/>
      <w:lvlJc w:val="left"/>
      <w:pPr>
        <w:ind w:left="3600" w:hanging="360"/>
      </w:pPr>
    </w:lvl>
    <w:lvl w:ilvl="5" w:tplc="FCEED9A6">
      <w:start w:val="1"/>
      <w:numFmt w:val="bullet"/>
      <w:lvlText w:val="◦"/>
      <w:lvlJc w:val="left"/>
      <w:pPr>
        <w:ind w:left="4320" w:hanging="360"/>
      </w:pPr>
    </w:lvl>
    <w:lvl w:ilvl="6" w:tplc="4B6831AC">
      <w:start w:val="1"/>
      <w:numFmt w:val="bullet"/>
      <w:lvlText w:val="•"/>
      <w:lvlJc w:val="left"/>
      <w:pPr>
        <w:ind w:left="5040" w:hanging="360"/>
      </w:pPr>
    </w:lvl>
    <w:lvl w:ilvl="7" w:tplc="133E724C">
      <w:numFmt w:val="decimal"/>
      <w:lvlText w:val=""/>
      <w:lvlJc w:val="left"/>
    </w:lvl>
    <w:lvl w:ilvl="8" w:tplc="5554D920">
      <w:numFmt w:val="decimal"/>
      <w:lvlText w:val=""/>
      <w:lvlJc w:val="left"/>
    </w:lvl>
  </w:abstractNum>
  <w:abstractNum w:abstractNumId="16" w15:restartNumberingAfterBreak="0">
    <w:nsid w:val="4F9E348D"/>
    <w:multiLevelType w:val="multilevel"/>
    <w:tmpl w:val="F4AAE408"/>
    <w:lvl w:ilvl="0">
      <w:start w:val="1"/>
      <w:numFmt w:val="lowerLetter"/>
      <w:lvlText w:val="%1)"/>
      <w:lvlJc w:val="left"/>
      <w:pPr>
        <w:ind w:left="800" w:hanging="44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534D7F76"/>
    <w:multiLevelType w:val="hybridMultilevel"/>
    <w:tmpl w:val="50683532"/>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557E0A7B"/>
    <w:multiLevelType w:val="multilevel"/>
    <w:tmpl w:val="D7D0DC9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559628C0"/>
    <w:multiLevelType w:val="multilevel"/>
    <w:tmpl w:val="F4AAE408"/>
    <w:lvl w:ilvl="0">
      <w:start w:val="1"/>
      <w:numFmt w:val="lowerLetter"/>
      <w:lvlText w:val="%1)"/>
      <w:lvlJc w:val="left"/>
      <w:pPr>
        <w:ind w:left="800" w:hanging="44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647A5B0B"/>
    <w:multiLevelType w:val="multilevel"/>
    <w:tmpl w:val="F4AAE408"/>
    <w:lvl w:ilvl="0">
      <w:start w:val="1"/>
      <w:numFmt w:val="lowerLetter"/>
      <w:lvlText w:val="%1)"/>
      <w:lvlJc w:val="left"/>
      <w:pPr>
        <w:ind w:left="800" w:hanging="44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659D0CEB"/>
    <w:multiLevelType w:val="multilevel"/>
    <w:tmpl w:val="F4AAE408"/>
    <w:lvl w:ilvl="0">
      <w:start w:val="1"/>
      <w:numFmt w:val="lowerLetter"/>
      <w:lvlText w:val="%1)"/>
      <w:lvlJc w:val="left"/>
      <w:pPr>
        <w:ind w:left="800" w:hanging="44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6C123F13"/>
    <w:multiLevelType w:val="multilevel"/>
    <w:tmpl w:val="0FAC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8571DD"/>
    <w:multiLevelType w:val="hybridMultilevel"/>
    <w:tmpl w:val="FF1A42FA"/>
    <w:lvl w:ilvl="0" w:tplc="F2262452">
      <w:start w:val="1"/>
      <w:numFmt w:val="bullet"/>
      <w:lvlText w:val="●"/>
      <w:lvlJc w:val="left"/>
      <w:pPr>
        <w:ind w:left="720" w:hanging="360"/>
      </w:pPr>
    </w:lvl>
    <w:lvl w:ilvl="1" w:tplc="9F646502">
      <w:start w:val="1"/>
      <w:numFmt w:val="bullet"/>
      <w:lvlText w:val="○"/>
      <w:lvlJc w:val="left"/>
      <w:pPr>
        <w:ind w:left="1440" w:hanging="360"/>
      </w:pPr>
    </w:lvl>
    <w:lvl w:ilvl="2" w:tplc="8EF024F6">
      <w:start w:val="1"/>
      <w:numFmt w:val="bullet"/>
      <w:lvlText w:val="■"/>
      <w:lvlJc w:val="left"/>
      <w:pPr>
        <w:ind w:left="2160" w:hanging="360"/>
      </w:pPr>
    </w:lvl>
    <w:lvl w:ilvl="3" w:tplc="42F4F870">
      <w:start w:val="1"/>
      <w:numFmt w:val="bullet"/>
      <w:lvlText w:val="●"/>
      <w:lvlJc w:val="left"/>
      <w:pPr>
        <w:ind w:left="2880" w:hanging="360"/>
      </w:pPr>
    </w:lvl>
    <w:lvl w:ilvl="4" w:tplc="8E5609B6">
      <w:start w:val="1"/>
      <w:numFmt w:val="bullet"/>
      <w:lvlText w:val="○"/>
      <w:lvlJc w:val="left"/>
      <w:pPr>
        <w:ind w:left="3600" w:hanging="360"/>
      </w:pPr>
    </w:lvl>
    <w:lvl w:ilvl="5" w:tplc="DFE4F0B2">
      <w:start w:val="1"/>
      <w:numFmt w:val="bullet"/>
      <w:lvlText w:val="■"/>
      <w:lvlJc w:val="left"/>
      <w:pPr>
        <w:ind w:left="4320" w:hanging="360"/>
      </w:pPr>
    </w:lvl>
    <w:lvl w:ilvl="6" w:tplc="778A4E3A">
      <w:start w:val="1"/>
      <w:numFmt w:val="bullet"/>
      <w:lvlText w:val="●"/>
      <w:lvlJc w:val="left"/>
      <w:pPr>
        <w:ind w:left="5040" w:hanging="360"/>
      </w:pPr>
    </w:lvl>
    <w:lvl w:ilvl="7" w:tplc="724AF4D2">
      <w:start w:val="1"/>
      <w:numFmt w:val="bullet"/>
      <w:lvlText w:val="●"/>
      <w:lvlJc w:val="left"/>
      <w:pPr>
        <w:ind w:left="5760" w:hanging="360"/>
      </w:pPr>
    </w:lvl>
    <w:lvl w:ilvl="8" w:tplc="A34AFA1E">
      <w:start w:val="1"/>
      <w:numFmt w:val="bullet"/>
      <w:lvlText w:val="●"/>
      <w:lvlJc w:val="left"/>
      <w:pPr>
        <w:ind w:left="6480" w:hanging="360"/>
      </w:pPr>
    </w:lvl>
  </w:abstractNum>
  <w:abstractNum w:abstractNumId="24" w15:restartNumberingAfterBreak="0">
    <w:nsid w:val="70280BF3"/>
    <w:multiLevelType w:val="multilevel"/>
    <w:tmpl w:val="F4AAE408"/>
    <w:lvl w:ilvl="0">
      <w:start w:val="1"/>
      <w:numFmt w:val="lowerLetter"/>
      <w:lvlText w:val="%1)"/>
      <w:lvlJc w:val="left"/>
      <w:pPr>
        <w:ind w:left="800" w:hanging="44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70937988"/>
    <w:multiLevelType w:val="hybridMultilevel"/>
    <w:tmpl w:val="7562ABB6"/>
    <w:lvl w:ilvl="0" w:tplc="04090019">
      <w:start w:val="1"/>
      <w:numFmt w:val="lowerLetter"/>
      <w:lvlText w:val="%1)"/>
      <w:lvlJc w:val="left"/>
      <w:pPr>
        <w:ind w:left="800" w:hanging="440"/>
      </w:p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numFmt w:val="decimal"/>
      <w:lvlText w:val=""/>
      <w:lvlJc w:val="left"/>
    </w:lvl>
    <w:lvl w:ilvl="8" w:tplc="FFFFFFFF">
      <w:numFmt w:val="decimal"/>
      <w:lvlText w:val=""/>
      <w:lvlJc w:val="left"/>
    </w:lvl>
  </w:abstractNum>
  <w:abstractNum w:abstractNumId="26" w15:restartNumberingAfterBreak="0">
    <w:nsid w:val="75587B18"/>
    <w:multiLevelType w:val="multilevel"/>
    <w:tmpl w:val="F4AAE408"/>
    <w:lvl w:ilvl="0">
      <w:start w:val="1"/>
      <w:numFmt w:val="lowerLetter"/>
      <w:lvlText w:val="%1)"/>
      <w:lvlJc w:val="left"/>
      <w:pPr>
        <w:ind w:left="800" w:hanging="44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785C2BC5"/>
    <w:multiLevelType w:val="multilevel"/>
    <w:tmpl w:val="F4AAE408"/>
    <w:lvl w:ilvl="0">
      <w:start w:val="1"/>
      <w:numFmt w:val="lowerLetter"/>
      <w:lvlText w:val="%1)"/>
      <w:lvlJc w:val="left"/>
      <w:pPr>
        <w:ind w:left="800" w:hanging="44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7C8662E6"/>
    <w:multiLevelType w:val="multilevel"/>
    <w:tmpl w:val="F4AAE408"/>
    <w:lvl w:ilvl="0">
      <w:start w:val="1"/>
      <w:numFmt w:val="lowerLetter"/>
      <w:lvlText w:val="%1)"/>
      <w:lvlJc w:val="left"/>
      <w:pPr>
        <w:ind w:left="800" w:hanging="44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667050906">
    <w:abstractNumId w:val="23"/>
    <w:lvlOverride w:ilvl="0">
      <w:startOverride w:val="1"/>
    </w:lvlOverride>
  </w:num>
  <w:num w:numId="2" w16cid:durableId="888299840">
    <w:abstractNumId w:val="18"/>
    <w:lvlOverride w:ilvl="0">
      <w:startOverride w:val="1"/>
    </w:lvlOverride>
  </w:num>
  <w:num w:numId="3" w16cid:durableId="1954436689">
    <w:abstractNumId w:val="1"/>
  </w:num>
  <w:num w:numId="4" w16cid:durableId="2107115529">
    <w:abstractNumId w:val="15"/>
    <w:lvlOverride w:ilvl="0">
      <w:startOverride w:val="1"/>
    </w:lvlOverride>
  </w:num>
  <w:num w:numId="5" w16cid:durableId="1548910432">
    <w:abstractNumId w:val="22"/>
  </w:num>
  <w:num w:numId="6" w16cid:durableId="12003358">
    <w:abstractNumId w:val="12"/>
  </w:num>
  <w:num w:numId="7" w16cid:durableId="1301692310">
    <w:abstractNumId w:val="5"/>
  </w:num>
  <w:num w:numId="8" w16cid:durableId="532890491">
    <w:abstractNumId w:val="1"/>
  </w:num>
  <w:num w:numId="9" w16cid:durableId="1033656112">
    <w:abstractNumId w:val="8"/>
  </w:num>
  <w:num w:numId="10" w16cid:durableId="862671551">
    <w:abstractNumId w:val="25"/>
  </w:num>
  <w:num w:numId="11" w16cid:durableId="1252853232">
    <w:abstractNumId w:val="21"/>
  </w:num>
  <w:num w:numId="12" w16cid:durableId="1251504666">
    <w:abstractNumId w:val="7"/>
  </w:num>
  <w:num w:numId="13" w16cid:durableId="22682420">
    <w:abstractNumId w:val="16"/>
  </w:num>
  <w:num w:numId="14" w16cid:durableId="1563759717">
    <w:abstractNumId w:val="3"/>
  </w:num>
  <w:num w:numId="15" w16cid:durableId="134377512">
    <w:abstractNumId w:val="27"/>
  </w:num>
  <w:num w:numId="16" w16cid:durableId="1741244003">
    <w:abstractNumId w:val="28"/>
  </w:num>
  <w:num w:numId="17" w16cid:durableId="1852210754">
    <w:abstractNumId w:val="26"/>
  </w:num>
  <w:num w:numId="18" w16cid:durableId="1382905296">
    <w:abstractNumId w:val="0"/>
  </w:num>
  <w:num w:numId="19" w16cid:durableId="129984723">
    <w:abstractNumId w:val="9"/>
  </w:num>
  <w:num w:numId="20" w16cid:durableId="1188714776">
    <w:abstractNumId w:val="11"/>
  </w:num>
  <w:num w:numId="21" w16cid:durableId="1663511530">
    <w:abstractNumId w:val="20"/>
  </w:num>
  <w:num w:numId="22" w16cid:durableId="1810240735">
    <w:abstractNumId w:val="19"/>
  </w:num>
  <w:num w:numId="23" w16cid:durableId="297883771">
    <w:abstractNumId w:val="4"/>
  </w:num>
  <w:num w:numId="24" w16cid:durableId="652031692">
    <w:abstractNumId w:val="24"/>
  </w:num>
  <w:num w:numId="25" w16cid:durableId="194005500">
    <w:abstractNumId w:val="13"/>
  </w:num>
  <w:num w:numId="26" w16cid:durableId="1895703014">
    <w:abstractNumId w:val="10"/>
  </w:num>
  <w:num w:numId="27" w16cid:durableId="610288160">
    <w:abstractNumId w:val="6"/>
  </w:num>
  <w:num w:numId="28" w16cid:durableId="459999769">
    <w:abstractNumId w:val="2"/>
  </w:num>
  <w:num w:numId="29" w16cid:durableId="570116512">
    <w:abstractNumId w:val="14"/>
  </w:num>
  <w:num w:numId="30" w16cid:durableId="9029060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128"/>
    <w:rsid w:val="00050097"/>
    <w:rsid w:val="00067A01"/>
    <w:rsid w:val="000F651E"/>
    <w:rsid w:val="00125670"/>
    <w:rsid w:val="001336C8"/>
    <w:rsid w:val="00196639"/>
    <w:rsid w:val="001D3983"/>
    <w:rsid w:val="002D11D4"/>
    <w:rsid w:val="00323956"/>
    <w:rsid w:val="00351BB9"/>
    <w:rsid w:val="00355531"/>
    <w:rsid w:val="003E49CD"/>
    <w:rsid w:val="003F6493"/>
    <w:rsid w:val="0040794B"/>
    <w:rsid w:val="004F1FD4"/>
    <w:rsid w:val="004F46C8"/>
    <w:rsid w:val="004F6849"/>
    <w:rsid w:val="00576D7A"/>
    <w:rsid w:val="005A1D31"/>
    <w:rsid w:val="005A5F7A"/>
    <w:rsid w:val="00602143"/>
    <w:rsid w:val="00604EA2"/>
    <w:rsid w:val="0066503B"/>
    <w:rsid w:val="006C2779"/>
    <w:rsid w:val="0078245F"/>
    <w:rsid w:val="008918F3"/>
    <w:rsid w:val="008F3C01"/>
    <w:rsid w:val="00923477"/>
    <w:rsid w:val="009F3714"/>
    <w:rsid w:val="00A37BFC"/>
    <w:rsid w:val="00A95C47"/>
    <w:rsid w:val="00AD3C50"/>
    <w:rsid w:val="00AD5E47"/>
    <w:rsid w:val="00AE56B9"/>
    <w:rsid w:val="00B37128"/>
    <w:rsid w:val="00B4180A"/>
    <w:rsid w:val="00B9495E"/>
    <w:rsid w:val="00C701B2"/>
    <w:rsid w:val="00CB06A0"/>
    <w:rsid w:val="00CE1F35"/>
    <w:rsid w:val="00DC7077"/>
    <w:rsid w:val="00E33342"/>
    <w:rsid w:val="00EB009E"/>
    <w:rsid w:val="00EB7E0B"/>
    <w:rsid w:val="00ED1190"/>
    <w:rsid w:val="00EE2FEF"/>
    <w:rsid w:val="00F80E13"/>
    <w:rsid w:val="00FC3B99"/>
    <w:rsid w:val="00FE1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1DCB3F3"/>
  <w15:docId w15:val="{F7EEDAA2-69B5-1C41-AAEE-51E85E7B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unhideWhenUsed/>
    <w:qFormat/>
    <w:pPr>
      <w:outlineLvl w:val="1"/>
    </w:pPr>
    <w:rPr>
      <w:color w:val="2E74B5"/>
      <w:sz w:val="26"/>
      <w:szCs w:val="26"/>
    </w:rPr>
  </w:style>
  <w:style w:type="paragraph" w:styleId="3">
    <w:name w:val="heading 3"/>
    <w:uiPriority w:val="9"/>
    <w:unhideWhenUsed/>
    <w:qFormat/>
    <w:pPr>
      <w:outlineLvl w:val="2"/>
    </w:pPr>
    <w:rPr>
      <w:color w:val="1F4D78"/>
    </w:rPr>
  </w:style>
  <w:style w:type="paragraph" w:styleId="4">
    <w:name w:val="heading 4"/>
    <w:uiPriority w:val="9"/>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color w:val="0563C1"/>
      <w:u w:val="single" w:color="0563C1"/>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本 字符"/>
    <w:link w:val="a7"/>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 w:type="paragraph" w:customStyle="1" w:styleId="ds-markdown-paragraph">
    <w:name w:val="ds-markdown-paragraph"/>
    <w:basedOn w:val="a"/>
    <w:rsid w:val="00ED1190"/>
    <w:pPr>
      <w:widowControl/>
      <w:spacing w:before="100" w:beforeAutospacing="1" w:after="100" w:afterAutospacing="1"/>
    </w:pPr>
    <w:rPr>
      <w:rFonts w:ascii="宋体" w:eastAsia="宋体" w:hAnsi="宋体" w:cs="宋体"/>
    </w:rPr>
  </w:style>
  <w:style w:type="character" w:styleId="a9">
    <w:name w:val="Strong"/>
    <w:basedOn w:val="a0"/>
    <w:uiPriority w:val="22"/>
    <w:qFormat/>
    <w:rsid w:val="00ED1190"/>
    <w:rPr>
      <w:b/>
      <w:bCs/>
    </w:rPr>
  </w:style>
  <w:style w:type="paragraph" w:styleId="aa">
    <w:name w:val="header"/>
    <w:basedOn w:val="a"/>
    <w:link w:val="ab"/>
    <w:uiPriority w:val="99"/>
    <w:unhideWhenUsed/>
    <w:rsid w:val="00EB7E0B"/>
    <w:pPr>
      <w:tabs>
        <w:tab w:val="center" w:pos="4153"/>
        <w:tab w:val="right" w:pos="8306"/>
      </w:tabs>
      <w:snapToGrid w:val="0"/>
      <w:jc w:val="center"/>
    </w:pPr>
    <w:rPr>
      <w:sz w:val="18"/>
      <w:szCs w:val="18"/>
    </w:rPr>
  </w:style>
  <w:style w:type="character" w:customStyle="1" w:styleId="ab">
    <w:name w:val="页眉 字符"/>
    <w:basedOn w:val="a0"/>
    <w:link w:val="aa"/>
    <w:uiPriority w:val="99"/>
    <w:rsid w:val="00EB7E0B"/>
    <w:rPr>
      <w:sz w:val="18"/>
      <w:szCs w:val="18"/>
    </w:rPr>
  </w:style>
  <w:style w:type="paragraph" w:styleId="ac">
    <w:name w:val="footer"/>
    <w:basedOn w:val="a"/>
    <w:link w:val="ad"/>
    <w:uiPriority w:val="99"/>
    <w:unhideWhenUsed/>
    <w:rsid w:val="00EB7E0B"/>
    <w:pPr>
      <w:tabs>
        <w:tab w:val="center" w:pos="4153"/>
        <w:tab w:val="right" w:pos="8306"/>
      </w:tabs>
      <w:snapToGrid w:val="0"/>
    </w:pPr>
    <w:rPr>
      <w:sz w:val="18"/>
      <w:szCs w:val="18"/>
    </w:rPr>
  </w:style>
  <w:style w:type="character" w:customStyle="1" w:styleId="ad">
    <w:name w:val="页脚 字符"/>
    <w:basedOn w:val="a0"/>
    <w:link w:val="ac"/>
    <w:uiPriority w:val="99"/>
    <w:rsid w:val="00EB7E0B"/>
    <w:rPr>
      <w:sz w:val="18"/>
      <w:szCs w:val="18"/>
    </w:rPr>
  </w:style>
  <w:style w:type="character" w:styleId="ae">
    <w:name w:val="page number"/>
    <w:basedOn w:val="a0"/>
    <w:uiPriority w:val="99"/>
    <w:semiHidden/>
    <w:unhideWhenUsed/>
    <w:rsid w:val="00EB7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18</Pages>
  <Words>4729</Words>
  <Characters>26958</Characters>
  <Application>Microsoft Office Word</Application>
  <DocSecurity>0</DocSecurity>
  <Lines>224</Lines>
  <Paragraphs>63</Paragraphs>
  <ScaleCrop>false</ScaleCrop>
  <Company/>
  <LinksUpToDate>false</LinksUpToDate>
  <CharactersWithSpaces>31624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hao chen</cp:lastModifiedBy>
  <cp:revision>29</cp:revision>
  <dcterms:created xsi:type="dcterms:W3CDTF">2026-02-19T00:22:00Z</dcterms:created>
  <dcterms:modified xsi:type="dcterms:W3CDTF">2026-03-16T23:20:00Z</dcterms:modified>
</cp:coreProperties>
</file>